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098A" w14:textId="77777777" w:rsidR="002A5A3D" w:rsidRDefault="00CF1C77" w:rsidP="00DB0D66">
      <w:pPr>
        <w:pStyle w:val="BodyText"/>
      </w:pPr>
      <w:r>
        <w:rPr>
          <w:rStyle w:val="IntenseCapitals"/>
        </w:rPr>
        <w:t>N</w:t>
      </w:r>
      <w:r w:rsidR="001C50AC">
        <w:rPr>
          <w:rStyle w:val="IntenseCapitals"/>
        </w:rPr>
        <w:t>ot for release, publication or distribution (in whole or in part, directly or indirectly) in, into or from any jurisdiction where to do so would constitute a violation of the relevant laws or regulations of such jurisdiction.</w:t>
      </w:r>
    </w:p>
    <w:p w14:paraId="0BC2B825" w14:textId="77777777" w:rsidR="00CB794D" w:rsidRPr="00CB794D" w:rsidRDefault="001C50AC">
      <w:pPr>
        <w:pStyle w:val="BodyText"/>
        <w:rPr>
          <w:b/>
          <w:bCs/>
        </w:rPr>
      </w:pPr>
      <w:r>
        <w:rPr>
          <w:b/>
          <w:bCs/>
        </w:rPr>
        <w:t xml:space="preserve">FOR IMMEDIATE RELEASE </w:t>
      </w:r>
    </w:p>
    <w:p w14:paraId="481F2215" w14:textId="154F25A2" w:rsidR="002A5A3D" w:rsidRDefault="000A370E" w:rsidP="00CB794D">
      <w:pPr>
        <w:pStyle w:val="BodyText"/>
        <w:jc w:val="right"/>
      </w:pPr>
      <w:r>
        <w:t>2</w:t>
      </w:r>
      <w:r w:rsidR="00EF09EF">
        <w:t>1</w:t>
      </w:r>
      <w:r>
        <w:t xml:space="preserve"> </w:t>
      </w:r>
      <w:r w:rsidR="00EF09EF">
        <w:t>Decem</w:t>
      </w:r>
      <w:r w:rsidR="00D422E2">
        <w:t xml:space="preserve">ber </w:t>
      </w:r>
      <w:r w:rsidR="00CB794D">
        <w:t>2023</w:t>
      </w:r>
    </w:p>
    <w:p w14:paraId="6D6B53C5" w14:textId="77777777" w:rsidR="002A5A3D" w:rsidRDefault="001C50AC">
      <w:pPr>
        <w:pStyle w:val="BodyText"/>
      </w:pPr>
      <w:r>
        <w:rPr>
          <w:rStyle w:val="Strong"/>
        </w:rPr>
        <w:t>For immediate release</w:t>
      </w:r>
    </w:p>
    <w:p w14:paraId="4979AC18" w14:textId="77777777" w:rsidR="002A5A3D" w:rsidRDefault="001C50AC" w:rsidP="00031EA5">
      <w:pPr>
        <w:pStyle w:val="BodyText"/>
        <w:jc w:val="center"/>
      </w:pPr>
      <w:r>
        <w:rPr>
          <w:rStyle w:val="IntenseCapitals"/>
        </w:rPr>
        <w:t xml:space="preserve">Recommended </w:t>
      </w:r>
      <w:r>
        <w:rPr>
          <w:rStyle w:val="OptionalText"/>
          <w:b/>
          <w:caps/>
        </w:rPr>
        <w:t xml:space="preserve">Cash </w:t>
      </w:r>
      <w:r w:rsidR="000A370E">
        <w:rPr>
          <w:rStyle w:val="OptionalText"/>
          <w:b/>
          <w:caps/>
        </w:rPr>
        <w:t>OFFER FOR</w:t>
      </w:r>
    </w:p>
    <w:p w14:paraId="5BCBF48D" w14:textId="77777777" w:rsidR="002A5A3D" w:rsidRDefault="00CB794D" w:rsidP="00031EA5">
      <w:pPr>
        <w:pStyle w:val="BodyText"/>
        <w:jc w:val="center"/>
      </w:pPr>
      <w:r>
        <w:rPr>
          <w:rStyle w:val="Strong"/>
        </w:rPr>
        <w:t xml:space="preserve">SCS GROUP PLC </w:t>
      </w:r>
    </w:p>
    <w:p w14:paraId="3A71AB47" w14:textId="77777777" w:rsidR="002A5A3D" w:rsidRDefault="00CB794D" w:rsidP="00031EA5">
      <w:pPr>
        <w:pStyle w:val="BodyText"/>
        <w:jc w:val="center"/>
        <w:rPr>
          <w:rStyle w:val="Strong"/>
        </w:rPr>
      </w:pPr>
      <w:r>
        <w:rPr>
          <w:rStyle w:val="Strong"/>
        </w:rPr>
        <w:t>B</w:t>
      </w:r>
      <w:r w:rsidR="00031EA5">
        <w:rPr>
          <w:rStyle w:val="Strong"/>
        </w:rPr>
        <w:t>Y</w:t>
      </w:r>
    </w:p>
    <w:p w14:paraId="35C48568" w14:textId="77777777" w:rsidR="00CB794D" w:rsidRPr="00CB794D" w:rsidRDefault="001C50AC" w:rsidP="00031EA5">
      <w:pPr>
        <w:pStyle w:val="BodyText"/>
        <w:jc w:val="center"/>
        <w:rPr>
          <w:b/>
          <w:bCs/>
        </w:rPr>
      </w:pPr>
      <w:r w:rsidRPr="00CB794D">
        <w:rPr>
          <w:b/>
          <w:bCs/>
        </w:rPr>
        <w:t>C</w:t>
      </w:r>
      <w:r w:rsidR="00031EA5">
        <w:rPr>
          <w:b/>
          <w:bCs/>
        </w:rPr>
        <w:t xml:space="preserve">EREZZOLA LIMITED </w:t>
      </w:r>
    </w:p>
    <w:p w14:paraId="4F3EAC9D" w14:textId="77777777" w:rsidR="00031EA5" w:rsidRDefault="000A370E" w:rsidP="00031EA5">
      <w:pPr>
        <w:pStyle w:val="BodyText"/>
        <w:jc w:val="center"/>
        <w:rPr>
          <w:b/>
          <w:bCs/>
        </w:rPr>
      </w:pPr>
      <w:r>
        <w:rPr>
          <w:b/>
          <w:bCs/>
        </w:rPr>
        <w:t>(</w:t>
      </w:r>
      <w:r w:rsidR="001C50AC" w:rsidRPr="00031EA5">
        <w:rPr>
          <w:b/>
          <w:bCs/>
        </w:rPr>
        <w:t xml:space="preserve">a </w:t>
      </w:r>
      <w:proofErr w:type="gramStart"/>
      <w:r w:rsidR="001C50AC" w:rsidRPr="00031EA5">
        <w:rPr>
          <w:b/>
          <w:bCs/>
        </w:rPr>
        <w:t>wholly-owned</w:t>
      </w:r>
      <w:proofErr w:type="gramEnd"/>
      <w:r w:rsidR="001C50AC" w:rsidRPr="00031EA5">
        <w:rPr>
          <w:b/>
          <w:bCs/>
        </w:rPr>
        <w:t xml:space="preserve"> subsidiary of </w:t>
      </w:r>
      <w:bookmarkStart w:id="0" w:name="_Hlk151400053"/>
      <w:proofErr w:type="spellStart"/>
      <w:r w:rsidR="001C50AC" w:rsidRPr="00031EA5">
        <w:rPr>
          <w:b/>
          <w:bCs/>
        </w:rPr>
        <w:t>Poltronesof</w:t>
      </w:r>
      <w:proofErr w:type="spellEnd"/>
      <w:r w:rsidR="001C50AC" w:rsidRPr="00031EA5">
        <w:rPr>
          <w:b/>
          <w:bCs/>
          <w:lang w:val="en-US"/>
        </w:rPr>
        <w:t>à</w:t>
      </w:r>
      <w:r w:rsidR="001C50AC" w:rsidRPr="00031EA5">
        <w:rPr>
          <w:b/>
          <w:bCs/>
        </w:rPr>
        <w:t xml:space="preserve"> S.p.A</w:t>
      </w:r>
      <w:r>
        <w:rPr>
          <w:b/>
          <w:bCs/>
        </w:rPr>
        <w:t>)</w:t>
      </w:r>
    </w:p>
    <w:bookmarkEnd w:id="0"/>
    <w:p w14:paraId="3270E7F7" w14:textId="77777777" w:rsidR="00CB794D" w:rsidRPr="00CB794D" w:rsidRDefault="000F18DC" w:rsidP="00CB794D">
      <w:pPr>
        <w:pStyle w:val="BodyText"/>
        <w:jc w:val="center"/>
        <w:rPr>
          <w:b/>
          <w:bCs/>
        </w:rPr>
      </w:pPr>
      <w:r>
        <w:rPr>
          <w:b/>
          <w:bCs/>
        </w:rPr>
        <w:t>Results of Court Meeting and General Meeting</w:t>
      </w:r>
    </w:p>
    <w:p w14:paraId="307FBBE8" w14:textId="7E538898" w:rsidR="002A5A3D" w:rsidRDefault="001C50AC">
      <w:pPr>
        <w:pStyle w:val="BodyText"/>
      </w:pPr>
      <w:r>
        <w:t xml:space="preserve">On </w:t>
      </w:r>
      <w:r w:rsidR="00CB794D">
        <w:t>24 October 2023</w:t>
      </w:r>
      <w:r>
        <w:t xml:space="preserve">, the boards of </w:t>
      </w:r>
      <w:proofErr w:type="spellStart"/>
      <w:r w:rsidR="00031EA5">
        <w:t>Cerezzola</w:t>
      </w:r>
      <w:proofErr w:type="spellEnd"/>
      <w:r w:rsidR="00031EA5">
        <w:t xml:space="preserve"> Limited (</w:t>
      </w:r>
      <w:r w:rsidR="00955681" w:rsidRPr="00A146BC">
        <w:t>“</w:t>
      </w:r>
      <w:proofErr w:type="spellStart"/>
      <w:r w:rsidR="00031EA5">
        <w:rPr>
          <w:b/>
          <w:bCs/>
        </w:rPr>
        <w:t>BidCo</w:t>
      </w:r>
      <w:proofErr w:type="spellEnd"/>
      <w:r w:rsidR="00955681" w:rsidRPr="00031EA5">
        <w:t>”</w:t>
      </w:r>
      <w:r w:rsidR="00031EA5">
        <w:t xml:space="preserve">), a newly incorporated </w:t>
      </w:r>
      <w:proofErr w:type="gramStart"/>
      <w:r w:rsidR="00031EA5">
        <w:t>wholly-owned</w:t>
      </w:r>
      <w:proofErr w:type="gramEnd"/>
      <w:r w:rsidR="00031EA5">
        <w:t xml:space="preserve"> subsidiary of </w:t>
      </w:r>
      <w:proofErr w:type="spellStart"/>
      <w:r w:rsidR="00031EA5" w:rsidRPr="00031EA5">
        <w:t>Poltronesof</w:t>
      </w:r>
      <w:proofErr w:type="spellEnd"/>
      <w:r w:rsidR="00031EA5" w:rsidRPr="00031EA5">
        <w:rPr>
          <w:lang w:val="en-US"/>
        </w:rPr>
        <w:t>à</w:t>
      </w:r>
      <w:r w:rsidR="00031EA5" w:rsidRPr="00031EA5">
        <w:t xml:space="preserve"> S.p.A</w:t>
      </w:r>
      <w:r w:rsidR="00031EA5" w:rsidRPr="00031EA5">
        <w:rPr>
          <w:b/>
          <w:bCs/>
        </w:rPr>
        <w:t xml:space="preserve"> </w:t>
      </w:r>
      <w:r w:rsidR="00031EA5" w:rsidRPr="00031EA5">
        <w:t>(“</w:t>
      </w:r>
      <w:proofErr w:type="spellStart"/>
      <w:r w:rsidR="00031EA5" w:rsidRPr="00031EA5">
        <w:rPr>
          <w:b/>
          <w:bCs/>
        </w:rPr>
        <w:t>Poltronesof</w:t>
      </w:r>
      <w:proofErr w:type="spellEnd"/>
      <w:r w:rsidR="00031EA5" w:rsidRPr="00031EA5">
        <w:rPr>
          <w:b/>
          <w:bCs/>
          <w:lang w:val="en-US"/>
        </w:rPr>
        <w:t>à</w:t>
      </w:r>
      <w:r w:rsidR="00031EA5" w:rsidRPr="00031EA5">
        <w:t>”)</w:t>
      </w:r>
      <w:r w:rsidR="00714AF1">
        <w:t>,</w:t>
      </w:r>
      <w:r w:rsidR="00031EA5">
        <w:rPr>
          <w:b/>
          <w:bCs/>
        </w:rPr>
        <w:t xml:space="preserve"> </w:t>
      </w:r>
      <w:r w:rsidR="00A146BC">
        <w:t>and ScS Group Plc (</w:t>
      </w:r>
      <w:r w:rsidR="00955681" w:rsidRPr="00A146BC">
        <w:t>“</w:t>
      </w:r>
      <w:r w:rsidR="00A146BC">
        <w:rPr>
          <w:b/>
          <w:bCs/>
        </w:rPr>
        <w:t>ScS</w:t>
      </w:r>
      <w:r w:rsidR="00955681" w:rsidRPr="00031EA5">
        <w:t>”</w:t>
      </w:r>
      <w:r w:rsidR="00A146BC">
        <w:t>)</w:t>
      </w:r>
      <w:r w:rsidR="00031EA5">
        <w:t xml:space="preserve"> </w:t>
      </w:r>
      <w:r w:rsidR="00A146BC" w:rsidRPr="00A146BC">
        <w:t xml:space="preserve">announced that they had reached agreement on the terms of a recommended cash offer by </w:t>
      </w:r>
      <w:proofErr w:type="spellStart"/>
      <w:r w:rsidR="00A146BC" w:rsidRPr="00A146BC">
        <w:t>Bid</w:t>
      </w:r>
      <w:r w:rsidR="00770A86">
        <w:t>C</w:t>
      </w:r>
      <w:r w:rsidR="00A146BC" w:rsidRPr="00A146BC">
        <w:t>o</w:t>
      </w:r>
      <w:proofErr w:type="spellEnd"/>
      <w:r w:rsidR="00A146BC" w:rsidRPr="00A146BC">
        <w:t xml:space="preserve"> to acquire the entire issued and to be issued ordinary share capital of </w:t>
      </w:r>
      <w:r w:rsidR="00A146BC">
        <w:t>ScS</w:t>
      </w:r>
      <w:r w:rsidR="00A146BC" w:rsidRPr="00A146BC">
        <w:t xml:space="preserve"> (the “</w:t>
      </w:r>
      <w:r w:rsidR="00A146BC" w:rsidRPr="00A146BC">
        <w:rPr>
          <w:b/>
          <w:bCs/>
        </w:rPr>
        <w:t>Acquisition</w:t>
      </w:r>
      <w:r w:rsidR="00A146BC" w:rsidRPr="00A146BC">
        <w:t>”)</w:t>
      </w:r>
      <w:r w:rsidR="00714AF1">
        <w:t>.</w:t>
      </w:r>
      <w:r w:rsidR="00A146BC" w:rsidRPr="00A146BC">
        <w:t xml:space="preserve"> The Acquisition is being implemented by means of a court sanctioned scheme of arrangement under Part 26 of the Companies Act 2006 (the “</w:t>
      </w:r>
      <w:r w:rsidR="00A146BC" w:rsidRPr="0079233E">
        <w:rPr>
          <w:b/>
          <w:bCs/>
        </w:rPr>
        <w:t>Scheme</w:t>
      </w:r>
      <w:r w:rsidR="00955681" w:rsidRPr="00031EA5">
        <w:t>”</w:t>
      </w:r>
      <w:r>
        <w:t>).</w:t>
      </w:r>
    </w:p>
    <w:p w14:paraId="2F589091" w14:textId="1B955D89" w:rsidR="000F18DC" w:rsidRDefault="00904483">
      <w:pPr>
        <w:pStyle w:val="BodyText"/>
      </w:pPr>
      <w:r w:rsidRPr="000F18DC">
        <w:t>The circular in relation to the Scheme, including the notices convening the Court Meeting and the General Meeting in connection with the Acquisition, was published on 2</w:t>
      </w:r>
      <w:r>
        <w:t>9</w:t>
      </w:r>
      <w:r w:rsidRPr="000F18DC">
        <w:t xml:space="preserve"> November 2023 (the </w:t>
      </w:r>
      <w:r w:rsidR="00955681" w:rsidRPr="00031EA5">
        <w:t>“</w:t>
      </w:r>
      <w:r w:rsidRPr="000F18DC">
        <w:rPr>
          <w:b/>
          <w:bCs/>
        </w:rPr>
        <w:t>Scheme Document</w:t>
      </w:r>
      <w:r w:rsidR="00955681" w:rsidRPr="00031EA5">
        <w:t>”</w:t>
      </w:r>
      <w:r w:rsidRPr="000F18DC">
        <w:t>). Capitalised terms used in this announcement shall, unless otherwise defined, have the same meanings as set out in the Scheme Document.</w:t>
      </w:r>
    </w:p>
    <w:p w14:paraId="73AEE9FB" w14:textId="77777777" w:rsidR="000F18DC" w:rsidRDefault="00904483">
      <w:pPr>
        <w:pStyle w:val="BodyText"/>
      </w:pPr>
      <w:r>
        <w:t xml:space="preserve">The </w:t>
      </w:r>
      <w:r w:rsidR="00A57FF4">
        <w:t xml:space="preserve">ScS </w:t>
      </w:r>
      <w:r>
        <w:t xml:space="preserve">Board </w:t>
      </w:r>
      <w:r w:rsidR="00A57FF4">
        <w:t>i</w:t>
      </w:r>
      <w:r>
        <w:t xml:space="preserve">s pleased to announce that, at the Court Meeting and the General Meeting held earlier today to consider the </w:t>
      </w:r>
      <w:r w:rsidR="00195AC0">
        <w:t>resolutions</w:t>
      </w:r>
      <w:r>
        <w:t xml:space="preserve"> relating to the Acquisition, all </w:t>
      </w:r>
      <w:r w:rsidRPr="000F18DC">
        <w:t>resolutions</w:t>
      </w:r>
      <w:r w:rsidR="00553D01">
        <w:t xml:space="preserve"> proposed </w:t>
      </w:r>
      <w:r w:rsidR="00553D01" w:rsidRPr="00553D01">
        <w:t>(details of which are set out in the notices of the</w:t>
      </w:r>
      <w:r w:rsidR="00195AC0">
        <w:t xml:space="preserve"> ScS Shareholder</w:t>
      </w:r>
      <w:r w:rsidR="00553D01" w:rsidRPr="00553D01">
        <w:t xml:space="preserve"> Meetings contained in </w:t>
      </w:r>
      <w:r w:rsidR="00195AC0">
        <w:t>P</w:t>
      </w:r>
      <w:r w:rsidR="00553D01" w:rsidRPr="00553D01">
        <w:t xml:space="preserve">arts </w:t>
      </w:r>
      <w:r w:rsidR="00195AC0">
        <w:t>10</w:t>
      </w:r>
      <w:r w:rsidR="00553D01">
        <w:t xml:space="preserve"> </w:t>
      </w:r>
      <w:r w:rsidR="00553D01" w:rsidRPr="00553D01">
        <w:t xml:space="preserve">and </w:t>
      </w:r>
      <w:r w:rsidR="00195AC0">
        <w:t>11</w:t>
      </w:r>
      <w:r w:rsidR="00553D01" w:rsidRPr="00553D01">
        <w:t xml:space="preserve"> of the Scheme Document)</w:t>
      </w:r>
      <w:r w:rsidRPr="000F18DC">
        <w:t xml:space="preserve"> were </w:t>
      </w:r>
      <w:r w:rsidR="00553D01">
        <w:t>passed</w:t>
      </w:r>
      <w:r w:rsidRPr="000F18DC">
        <w:t xml:space="preserve"> by the requisite majorities</w:t>
      </w:r>
      <w:r w:rsidR="00553D01">
        <w:t xml:space="preserve"> and</w:t>
      </w:r>
      <w:r w:rsidRPr="000F18DC">
        <w:t>,</w:t>
      </w:r>
      <w:r w:rsidR="00553D01">
        <w:t xml:space="preserve"> accordingly, the Scheme was approved</w:t>
      </w:r>
      <w:r w:rsidRPr="000F18DC">
        <w:t>.</w:t>
      </w:r>
    </w:p>
    <w:p w14:paraId="18534430" w14:textId="77777777" w:rsidR="000F18DC" w:rsidRDefault="00904483">
      <w:pPr>
        <w:pStyle w:val="BodyText"/>
      </w:pPr>
      <w:r w:rsidRPr="000F18DC">
        <w:t xml:space="preserve">At the Court Meeting, a majority in number of the Scheme Shareholders present and voting (and entitled to vote) in person or by proxy, representing not less than 75 per cent. in value of the Scheme Shares voted by those Scheme Shareholders, approved the Scheme. </w:t>
      </w:r>
    </w:p>
    <w:p w14:paraId="4D6B9E9B" w14:textId="382CBBCA" w:rsidR="000F18DC" w:rsidRDefault="00904483">
      <w:pPr>
        <w:pStyle w:val="BodyText"/>
      </w:pPr>
      <w:r w:rsidRPr="000F18DC">
        <w:t xml:space="preserve">At the General Meeting, </w:t>
      </w:r>
      <w:r>
        <w:t>ScS</w:t>
      </w:r>
      <w:r w:rsidRPr="000F18DC">
        <w:t xml:space="preserve"> Shareholders passed the Resolution to implement the Scheme, </w:t>
      </w:r>
      <w:r w:rsidR="00B70DEB">
        <w:t>amend the</w:t>
      </w:r>
      <w:r w:rsidRPr="000F18DC">
        <w:t xml:space="preserve"> </w:t>
      </w:r>
      <w:r>
        <w:t>ScS</w:t>
      </w:r>
      <w:r w:rsidRPr="000F18DC">
        <w:t xml:space="preserve"> </w:t>
      </w:r>
      <w:r w:rsidR="00B70DEB">
        <w:t>A</w:t>
      </w:r>
      <w:r w:rsidRPr="000F18DC">
        <w:t>rticles in connection with the Scheme and authoris</w:t>
      </w:r>
      <w:r w:rsidR="00B70DEB">
        <w:t>e</w:t>
      </w:r>
      <w:r w:rsidRPr="000F18DC">
        <w:t xml:space="preserve"> the </w:t>
      </w:r>
      <w:r>
        <w:t>ScS</w:t>
      </w:r>
      <w:r w:rsidRPr="000F18DC">
        <w:t xml:space="preserve"> Directors to take all such action as they may consider necessary or appropriate for carrying the Scheme into effect.</w:t>
      </w:r>
    </w:p>
    <w:p w14:paraId="34B090DA" w14:textId="6AE839EA" w:rsidR="000F18DC" w:rsidRDefault="00904483">
      <w:pPr>
        <w:pStyle w:val="BodyText"/>
      </w:pPr>
      <w:r w:rsidRPr="000F18DC">
        <w:t xml:space="preserve">At the Voting Record Time </w:t>
      </w:r>
      <w:r>
        <w:t>there were</w:t>
      </w:r>
      <w:r w:rsidRPr="000F18DC">
        <w:t xml:space="preserve"> 33,954,674</w:t>
      </w:r>
      <w:r>
        <w:t xml:space="preserve"> ScS </w:t>
      </w:r>
      <w:r w:rsidRPr="000F18DC">
        <w:t>Shares in issu</w:t>
      </w:r>
      <w:r>
        <w:t>e</w:t>
      </w:r>
      <w:r w:rsidR="00EF09EF">
        <w:t xml:space="preserve"> and</w:t>
      </w:r>
      <w:r>
        <w:t xml:space="preserve"> </w:t>
      </w:r>
      <w:r w:rsidR="00EF09EF">
        <w:t>t</w:t>
      </w:r>
      <w:r w:rsidRPr="000F18DC">
        <w:t>he total voting rights in the Company w</w:t>
      </w:r>
      <w:r w:rsidR="00EF09EF">
        <w:t>as</w:t>
      </w:r>
      <w:r w:rsidRPr="000F18DC">
        <w:t xml:space="preserve"> </w:t>
      </w:r>
      <w:r w:rsidR="00A744BA">
        <w:t>3</w:t>
      </w:r>
      <w:r w:rsidRPr="000F18DC">
        <w:t xml:space="preserve">3,900,677 (which excludes 53,997 ordinary shares held by </w:t>
      </w:r>
      <w:r w:rsidR="00E90DB7">
        <w:t>ScS</w:t>
      </w:r>
      <w:r w:rsidRPr="000F18DC">
        <w:t xml:space="preserve"> for the benefit of </w:t>
      </w:r>
      <w:r w:rsidR="009D75E3">
        <w:t>the EBT</w:t>
      </w:r>
      <w:r w:rsidR="00E91940">
        <w:t xml:space="preserve">, </w:t>
      </w:r>
      <w:r w:rsidR="00E91940" w:rsidRPr="00E91940">
        <w:t>the voting rights to which have been waived</w:t>
      </w:r>
      <w:r w:rsidRPr="000F18DC">
        <w:t>).</w:t>
      </w:r>
    </w:p>
    <w:p w14:paraId="74B1CE4A" w14:textId="77777777" w:rsidR="00B70DEB" w:rsidRDefault="00904483">
      <w:pPr>
        <w:pStyle w:val="BodyText"/>
      </w:pPr>
      <w:r w:rsidRPr="00B70DEB">
        <w:t>The detailed voting results in relation to the Court Meeting and the General Meeting are set out below</w:t>
      </w:r>
      <w:r>
        <w:t>.</w:t>
      </w:r>
    </w:p>
    <w:p w14:paraId="07ABB518" w14:textId="77777777" w:rsidR="00D35BE3" w:rsidRDefault="00D35BE3">
      <w:pPr>
        <w:pStyle w:val="BodyText"/>
        <w:rPr>
          <w:b/>
          <w:bCs/>
        </w:rPr>
      </w:pPr>
    </w:p>
    <w:p w14:paraId="6443D794" w14:textId="6A02C77B" w:rsidR="00EF09EF" w:rsidRPr="00EF09EF" w:rsidRDefault="00904483">
      <w:pPr>
        <w:pStyle w:val="BodyText"/>
        <w:rPr>
          <w:b/>
          <w:bCs/>
        </w:rPr>
      </w:pPr>
      <w:r w:rsidRPr="00EF09EF">
        <w:rPr>
          <w:b/>
          <w:bCs/>
        </w:rPr>
        <w:lastRenderedPageBreak/>
        <w:t xml:space="preserve">Number of Scheme Shareholders </w:t>
      </w:r>
      <w:proofErr w:type="gramStart"/>
      <w:r w:rsidRPr="00EF09EF">
        <w:rPr>
          <w:b/>
          <w:bCs/>
        </w:rPr>
        <w:t>voting</w:t>
      </w:r>
      <w:proofErr w:type="gramEnd"/>
      <w:r w:rsidRPr="00EF09EF">
        <w:rPr>
          <w:b/>
          <w:bCs/>
        </w:rPr>
        <w:t xml:space="preserve"> and votes cast at the Court Meeting </w:t>
      </w:r>
    </w:p>
    <w:p w14:paraId="19B23BC9" w14:textId="272D04B5" w:rsidR="00EF09EF" w:rsidRPr="009C5F63" w:rsidRDefault="00904483">
      <w:pPr>
        <w:pStyle w:val="BodyText"/>
        <w:rPr>
          <w:iCs/>
        </w:rPr>
      </w:pPr>
      <w:r w:rsidRPr="00EF09EF">
        <w:t xml:space="preserve">The table below sets out the results of the poll conducted at the Court Meeting held on 21 </w:t>
      </w:r>
      <w:r>
        <w:t>December</w:t>
      </w:r>
      <w:r w:rsidRPr="00EF09EF">
        <w:t xml:space="preserve"> 2023</w:t>
      </w:r>
      <w:r w:rsidR="00C83102">
        <w:t xml:space="preserve"> at 10</w:t>
      </w:r>
      <w:r w:rsidR="00955681">
        <w:t>.</w:t>
      </w:r>
      <w:r w:rsidR="00C83102">
        <w:t>30</w:t>
      </w:r>
      <w:r w:rsidR="00B51BC3">
        <w:t xml:space="preserve"> </w:t>
      </w:r>
      <w:r w:rsidR="00C83102">
        <w:t>a.m.</w:t>
      </w:r>
      <w:r w:rsidRPr="00EF09EF">
        <w:t xml:space="preserve"> Each Scheme Shareholder present </w:t>
      </w:r>
      <w:r w:rsidR="009C5F63" w:rsidRPr="009C5F63">
        <w:rPr>
          <w:bCs/>
        </w:rPr>
        <w:t>in person or by proxy</w:t>
      </w:r>
      <w:r w:rsidR="009C5F63" w:rsidRPr="009C5F63">
        <w:t xml:space="preserve"> </w:t>
      </w:r>
      <w:r w:rsidRPr="00EF09EF">
        <w:t>was entitled to one vote per Scheme Share held at the Voting Record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52"/>
        <w:gridCol w:w="2248"/>
        <w:gridCol w:w="2253"/>
      </w:tblGrid>
      <w:tr w:rsidR="00CA3B6E" w14:paraId="5F41A310" w14:textId="77777777" w:rsidTr="00E86941">
        <w:tc>
          <w:tcPr>
            <w:tcW w:w="2310" w:type="dxa"/>
            <w:shd w:val="clear" w:color="auto" w:fill="auto"/>
          </w:tcPr>
          <w:p w14:paraId="65AC3A86" w14:textId="77777777" w:rsidR="00EF09EF" w:rsidRPr="00E86941" w:rsidRDefault="00904483">
            <w:pPr>
              <w:pStyle w:val="BodyText"/>
              <w:rPr>
                <w:b/>
                <w:bCs/>
              </w:rPr>
            </w:pPr>
            <w:r w:rsidRPr="00E86941">
              <w:rPr>
                <w:b/>
                <w:bCs/>
              </w:rPr>
              <w:t>Results of Court Meeting</w:t>
            </w:r>
          </w:p>
        </w:tc>
        <w:tc>
          <w:tcPr>
            <w:tcW w:w="2310" w:type="dxa"/>
            <w:shd w:val="clear" w:color="auto" w:fill="auto"/>
          </w:tcPr>
          <w:p w14:paraId="1B4E22D7" w14:textId="08BD067B" w:rsidR="00EF09EF" w:rsidRPr="00E86941" w:rsidRDefault="00904483" w:rsidP="00E86941">
            <w:pPr>
              <w:pStyle w:val="BodyText"/>
              <w:jc w:val="center"/>
              <w:rPr>
                <w:b/>
                <w:bCs/>
              </w:rPr>
            </w:pPr>
            <w:proofErr w:type="gramStart"/>
            <w:r w:rsidRPr="00E86941">
              <w:rPr>
                <w:b/>
                <w:bCs/>
              </w:rPr>
              <w:t>FOR</w:t>
            </w:r>
            <w:r w:rsidR="00E91940" w:rsidRPr="00FE7C66">
              <w:rPr>
                <w:b/>
                <w:bCs/>
                <w:vertAlign w:val="superscript"/>
              </w:rPr>
              <w:t>(</w:t>
            </w:r>
            <w:proofErr w:type="gramEnd"/>
            <w:r w:rsidR="00E91940" w:rsidRPr="00FE7C66">
              <w:rPr>
                <w:b/>
                <w:bCs/>
                <w:vertAlign w:val="superscript"/>
              </w:rPr>
              <w:t>3)</w:t>
            </w:r>
          </w:p>
        </w:tc>
        <w:tc>
          <w:tcPr>
            <w:tcW w:w="2311" w:type="dxa"/>
            <w:shd w:val="clear" w:color="auto" w:fill="auto"/>
          </w:tcPr>
          <w:p w14:paraId="1F9B44C2" w14:textId="77777777" w:rsidR="00EF09EF" w:rsidRPr="00E86941" w:rsidRDefault="00904483" w:rsidP="00E86941">
            <w:pPr>
              <w:pStyle w:val="BodyText"/>
              <w:jc w:val="center"/>
              <w:rPr>
                <w:b/>
                <w:bCs/>
              </w:rPr>
            </w:pPr>
            <w:r w:rsidRPr="00E86941">
              <w:rPr>
                <w:b/>
                <w:bCs/>
              </w:rPr>
              <w:t>AGAINST</w:t>
            </w:r>
          </w:p>
        </w:tc>
        <w:tc>
          <w:tcPr>
            <w:tcW w:w="2311" w:type="dxa"/>
            <w:shd w:val="clear" w:color="auto" w:fill="auto"/>
          </w:tcPr>
          <w:p w14:paraId="22A9983A" w14:textId="77777777" w:rsidR="00EF09EF" w:rsidRPr="00E86941" w:rsidRDefault="00904483" w:rsidP="00E86941">
            <w:pPr>
              <w:pStyle w:val="BodyText"/>
              <w:jc w:val="center"/>
              <w:rPr>
                <w:b/>
                <w:bCs/>
              </w:rPr>
            </w:pPr>
            <w:r w:rsidRPr="00E86941">
              <w:rPr>
                <w:b/>
                <w:bCs/>
              </w:rPr>
              <w:t>TOTAL</w:t>
            </w:r>
          </w:p>
        </w:tc>
      </w:tr>
      <w:tr w:rsidR="00CA3B6E" w14:paraId="49F96F79" w14:textId="77777777" w:rsidTr="00E86941">
        <w:tc>
          <w:tcPr>
            <w:tcW w:w="2310" w:type="dxa"/>
            <w:shd w:val="clear" w:color="auto" w:fill="auto"/>
          </w:tcPr>
          <w:p w14:paraId="74198D47" w14:textId="77777777" w:rsidR="00EF09EF" w:rsidRDefault="00904483">
            <w:pPr>
              <w:pStyle w:val="BodyText"/>
            </w:pPr>
            <w:r>
              <w:t>Number of Scheme Shares voted</w:t>
            </w:r>
          </w:p>
        </w:tc>
        <w:tc>
          <w:tcPr>
            <w:tcW w:w="2310" w:type="dxa"/>
            <w:shd w:val="clear" w:color="auto" w:fill="auto"/>
          </w:tcPr>
          <w:p w14:paraId="134DCF49" w14:textId="5B6821CF" w:rsidR="00EF09EF" w:rsidRDefault="00B51353">
            <w:pPr>
              <w:pStyle w:val="BodyText"/>
            </w:pPr>
            <w:r>
              <w:t>17,152,481</w:t>
            </w:r>
          </w:p>
        </w:tc>
        <w:tc>
          <w:tcPr>
            <w:tcW w:w="2311" w:type="dxa"/>
            <w:shd w:val="clear" w:color="auto" w:fill="auto"/>
          </w:tcPr>
          <w:p w14:paraId="2B15EBFA" w14:textId="078960D9" w:rsidR="00EF09EF" w:rsidRDefault="00B51353">
            <w:pPr>
              <w:pStyle w:val="BodyText"/>
            </w:pPr>
            <w:r>
              <w:t>152,875</w:t>
            </w:r>
          </w:p>
        </w:tc>
        <w:tc>
          <w:tcPr>
            <w:tcW w:w="2311" w:type="dxa"/>
            <w:shd w:val="clear" w:color="auto" w:fill="auto"/>
          </w:tcPr>
          <w:p w14:paraId="030AA21A" w14:textId="09F2B49D" w:rsidR="00EF09EF" w:rsidRDefault="00B51353">
            <w:pPr>
              <w:pStyle w:val="BodyText"/>
            </w:pPr>
            <w:r>
              <w:t>17,305,356</w:t>
            </w:r>
          </w:p>
        </w:tc>
      </w:tr>
      <w:tr w:rsidR="00CA3B6E" w14:paraId="05F60E28" w14:textId="77777777" w:rsidTr="00E86941">
        <w:tc>
          <w:tcPr>
            <w:tcW w:w="2310" w:type="dxa"/>
            <w:shd w:val="clear" w:color="auto" w:fill="auto"/>
          </w:tcPr>
          <w:p w14:paraId="01365F5D" w14:textId="77777777" w:rsidR="00EF09EF" w:rsidRDefault="00904483">
            <w:pPr>
              <w:pStyle w:val="BodyText"/>
            </w:pPr>
            <w:r>
              <w:t xml:space="preserve">Percentage of Scheme Shares </w:t>
            </w:r>
            <w:proofErr w:type="gramStart"/>
            <w:r>
              <w:t>voted</w:t>
            </w:r>
            <w:r w:rsidRPr="00E86941">
              <w:rPr>
                <w:vertAlign w:val="superscript"/>
              </w:rPr>
              <w:t>(</w:t>
            </w:r>
            <w:proofErr w:type="gramEnd"/>
            <w:r w:rsidRPr="00E86941">
              <w:rPr>
                <w:vertAlign w:val="superscript"/>
              </w:rPr>
              <w:t>1)</w:t>
            </w:r>
          </w:p>
        </w:tc>
        <w:tc>
          <w:tcPr>
            <w:tcW w:w="2310" w:type="dxa"/>
            <w:shd w:val="clear" w:color="auto" w:fill="auto"/>
          </w:tcPr>
          <w:p w14:paraId="1DF51435" w14:textId="455884E6" w:rsidR="00EF09EF" w:rsidRDefault="00184F96">
            <w:pPr>
              <w:pStyle w:val="BodyText"/>
            </w:pPr>
            <w:r>
              <w:t>99.12</w:t>
            </w:r>
          </w:p>
        </w:tc>
        <w:tc>
          <w:tcPr>
            <w:tcW w:w="2311" w:type="dxa"/>
            <w:shd w:val="clear" w:color="auto" w:fill="auto"/>
          </w:tcPr>
          <w:p w14:paraId="5E14E92E" w14:textId="6FEF5041" w:rsidR="00EF09EF" w:rsidRDefault="00184F96">
            <w:pPr>
              <w:pStyle w:val="BodyText"/>
            </w:pPr>
            <w:r>
              <w:t>0.88</w:t>
            </w:r>
          </w:p>
        </w:tc>
        <w:tc>
          <w:tcPr>
            <w:tcW w:w="2311" w:type="dxa"/>
            <w:shd w:val="clear" w:color="auto" w:fill="auto"/>
          </w:tcPr>
          <w:p w14:paraId="63426A54" w14:textId="4AE6D29C" w:rsidR="00EF09EF" w:rsidRDefault="00184F96">
            <w:pPr>
              <w:pStyle w:val="BodyText"/>
            </w:pPr>
            <w:r>
              <w:t>100</w:t>
            </w:r>
          </w:p>
        </w:tc>
      </w:tr>
      <w:tr w:rsidR="00CA3B6E" w14:paraId="41152901" w14:textId="77777777" w:rsidTr="00E86941">
        <w:tc>
          <w:tcPr>
            <w:tcW w:w="2310" w:type="dxa"/>
            <w:shd w:val="clear" w:color="auto" w:fill="auto"/>
          </w:tcPr>
          <w:p w14:paraId="4B89CEC0" w14:textId="509835D6" w:rsidR="00EF09EF" w:rsidRDefault="00904483">
            <w:pPr>
              <w:pStyle w:val="BodyText"/>
            </w:pPr>
            <w:r>
              <w:t xml:space="preserve">Number of Scheme Shareholders who voted </w:t>
            </w:r>
            <w:r w:rsidRPr="0035038D">
              <w:rPr>
                <w:vertAlign w:val="superscript"/>
              </w:rPr>
              <w:t>(</w:t>
            </w:r>
            <w:r w:rsidRPr="00E86941">
              <w:rPr>
                <w:vertAlign w:val="superscript"/>
              </w:rPr>
              <w:t>2)</w:t>
            </w:r>
          </w:p>
        </w:tc>
        <w:tc>
          <w:tcPr>
            <w:tcW w:w="2310" w:type="dxa"/>
            <w:shd w:val="clear" w:color="auto" w:fill="auto"/>
          </w:tcPr>
          <w:p w14:paraId="00CD7AC3" w14:textId="72AE5877" w:rsidR="00EF09EF" w:rsidRDefault="00184F96">
            <w:pPr>
              <w:pStyle w:val="BodyText"/>
            </w:pPr>
            <w:r>
              <w:t>4</w:t>
            </w:r>
            <w:r w:rsidR="00EB65BA">
              <w:t>4</w:t>
            </w:r>
          </w:p>
        </w:tc>
        <w:tc>
          <w:tcPr>
            <w:tcW w:w="2311" w:type="dxa"/>
            <w:shd w:val="clear" w:color="auto" w:fill="auto"/>
          </w:tcPr>
          <w:p w14:paraId="65EB4A9A" w14:textId="4E17FF8D" w:rsidR="00EF09EF" w:rsidRDefault="00184F96">
            <w:pPr>
              <w:pStyle w:val="BodyText"/>
            </w:pPr>
            <w:r>
              <w:t>7</w:t>
            </w:r>
          </w:p>
        </w:tc>
        <w:tc>
          <w:tcPr>
            <w:tcW w:w="2311" w:type="dxa"/>
            <w:shd w:val="clear" w:color="auto" w:fill="auto"/>
          </w:tcPr>
          <w:p w14:paraId="0E99E5E5" w14:textId="72990F57" w:rsidR="00EF09EF" w:rsidRDefault="00184F96">
            <w:pPr>
              <w:pStyle w:val="BodyText"/>
            </w:pPr>
            <w:r>
              <w:t>5</w:t>
            </w:r>
            <w:r w:rsidR="00EB65BA">
              <w:t>1</w:t>
            </w:r>
          </w:p>
        </w:tc>
      </w:tr>
      <w:tr w:rsidR="00CA3B6E" w14:paraId="4B200D20" w14:textId="77777777" w:rsidTr="00E86941">
        <w:tc>
          <w:tcPr>
            <w:tcW w:w="2310" w:type="dxa"/>
            <w:shd w:val="clear" w:color="auto" w:fill="auto"/>
          </w:tcPr>
          <w:p w14:paraId="63D2E8A6" w14:textId="0B1CCCC4" w:rsidR="00EF09EF" w:rsidRDefault="00904483">
            <w:pPr>
              <w:pStyle w:val="BodyText"/>
            </w:pPr>
            <w:r>
              <w:t xml:space="preserve">Percentage of Scheme Shareholders who voted </w:t>
            </w:r>
            <w:r w:rsidRPr="00E86941">
              <w:rPr>
                <w:vertAlign w:val="superscript"/>
              </w:rPr>
              <w:t>(1)</w:t>
            </w:r>
            <w:r w:rsidR="00D35BE3">
              <w:rPr>
                <w:vertAlign w:val="superscript"/>
              </w:rPr>
              <w:t>(2)</w:t>
            </w:r>
          </w:p>
        </w:tc>
        <w:tc>
          <w:tcPr>
            <w:tcW w:w="2310" w:type="dxa"/>
            <w:shd w:val="clear" w:color="auto" w:fill="auto"/>
          </w:tcPr>
          <w:p w14:paraId="2D34079D" w14:textId="6781B6A5" w:rsidR="00EF09EF" w:rsidRDefault="00C41777">
            <w:pPr>
              <w:pStyle w:val="BodyText"/>
            </w:pPr>
            <w:r>
              <w:t>86.27</w:t>
            </w:r>
          </w:p>
        </w:tc>
        <w:tc>
          <w:tcPr>
            <w:tcW w:w="2311" w:type="dxa"/>
            <w:shd w:val="clear" w:color="auto" w:fill="auto"/>
          </w:tcPr>
          <w:p w14:paraId="4014EDAC" w14:textId="7648C2DC" w:rsidR="00EF09EF" w:rsidRDefault="00C41777">
            <w:pPr>
              <w:pStyle w:val="BodyText"/>
            </w:pPr>
            <w:r>
              <w:t>13.73</w:t>
            </w:r>
          </w:p>
        </w:tc>
        <w:tc>
          <w:tcPr>
            <w:tcW w:w="2311" w:type="dxa"/>
            <w:shd w:val="clear" w:color="auto" w:fill="auto"/>
          </w:tcPr>
          <w:p w14:paraId="7DEEBEF1" w14:textId="606879D7" w:rsidR="00EF09EF" w:rsidRDefault="00C41777">
            <w:pPr>
              <w:pStyle w:val="BodyText"/>
            </w:pPr>
            <w:r>
              <w:t>100</w:t>
            </w:r>
          </w:p>
        </w:tc>
      </w:tr>
      <w:tr w:rsidR="00CA3B6E" w14:paraId="708AB474" w14:textId="77777777" w:rsidTr="00E86941">
        <w:tc>
          <w:tcPr>
            <w:tcW w:w="2310" w:type="dxa"/>
            <w:shd w:val="clear" w:color="auto" w:fill="auto"/>
          </w:tcPr>
          <w:p w14:paraId="27A45BEB" w14:textId="77777777" w:rsidR="00EF09EF" w:rsidRDefault="00904483">
            <w:pPr>
              <w:pStyle w:val="BodyText"/>
            </w:pPr>
            <w:r w:rsidRPr="00EF09EF">
              <w:t xml:space="preserve">Number of Scheme Shares voted as a percentage of the Scheme Shares eligible to be voted at the Court </w:t>
            </w:r>
            <w:proofErr w:type="gramStart"/>
            <w:r w:rsidRPr="00EF09EF">
              <w:t>Meeting</w:t>
            </w:r>
            <w:r w:rsidRPr="00E86941">
              <w:rPr>
                <w:vertAlign w:val="superscript"/>
              </w:rPr>
              <w:t>(</w:t>
            </w:r>
            <w:proofErr w:type="gramEnd"/>
            <w:r w:rsidRPr="00E86941">
              <w:rPr>
                <w:vertAlign w:val="superscript"/>
              </w:rPr>
              <w:t>1)</w:t>
            </w:r>
          </w:p>
        </w:tc>
        <w:tc>
          <w:tcPr>
            <w:tcW w:w="2310" w:type="dxa"/>
            <w:shd w:val="clear" w:color="auto" w:fill="auto"/>
          </w:tcPr>
          <w:p w14:paraId="6767114C" w14:textId="23171A21" w:rsidR="00EF09EF" w:rsidRDefault="00184F96">
            <w:pPr>
              <w:pStyle w:val="BodyText"/>
            </w:pPr>
            <w:r>
              <w:t>50.</w:t>
            </w:r>
            <w:r w:rsidR="00B043CA">
              <w:t>60</w:t>
            </w:r>
          </w:p>
        </w:tc>
        <w:tc>
          <w:tcPr>
            <w:tcW w:w="2311" w:type="dxa"/>
            <w:shd w:val="clear" w:color="auto" w:fill="auto"/>
          </w:tcPr>
          <w:p w14:paraId="780F8306" w14:textId="3DD934B6" w:rsidR="00EF09EF" w:rsidRDefault="00184F96">
            <w:pPr>
              <w:pStyle w:val="BodyText"/>
            </w:pPr>
            <w:r>
              <w:t>0.45</w:t>
            </w:r>
          </w:p>
        </w:tc>
        <w:tc>
          <w:tcPr>
            <w:tcW w:w="2311" w:type="dxa"/>
            <w:shd w:val="clear" w:color="auto" w:fill="auto"/>
          </w:tcPr>
          <w:p w14:paraId="06226509" w14:textId="4852227A" w:rsidR="00EF09EF" w:rsidRDefault="00B043CA">
            <w:pPr>
              <w:pStyle w:val="BodyText"/>
            </w:pPr>
            <w:r>
              <w:t>51.05</w:t>
            </w:r>
          </w:p>
        </w:tc>
      </w:tr>
    </w:tbl>
    <w:p w14:paraId="1439AA19" w14:textId="77777777" w:rsidR="00EF09EF" w:rsidRDefault="00904483" w:rsidP="00EF09EF">
      <w:pPr>
        <w:pStyle w:val="BodyText"/>
        <w:numPr>
          <w:ilvl w:val="0"/>
          <w:numId w:val="21"/>
        </w:numPr>
        <w:spacing w:after="360"/>
        <w:ind w:left="714" w:hanging="357"/>
        <w:contextualSpacing/>
        <w:rPr>
          <w:i/>
          <w:iCs/>
        </w:rPr>
      </w:pPr>
      <w:r w:rsidRPr="00EF09EF">
        <w:rPr>
          <w:i/>
          <w:iCs/>
        </w:rPr>
        <w:t>Rounded to two decimal places</w:t>
      </w:r>
      <w:r>
        <w:rPr>
          <w:i/>
          <w:iCs/>
        </w:rPr>
        <w:t>.</w:t>
      </w:r>
    </w:p>
    <w:p w14:paraId="033F408D" w14:textId="4125FDB2" w:rsidR="00EF09EF" w:rsidRPr="00EF09EF" w:rsidRDefault="00904483" w:rsidP="00EF09EF">
      <w:pPr>
        <w:pStyle w:val="BodyText"/>
        <w:numPr>
          <w:ilvl w:val="0"/>
          <w:numId w:val="21"/>
        </w:numPr>
        <w:spacing w:after="360"/>
        <w:ind w:left="714" w:hanging="357"/>
        <w:contextualSpacing/>
        <w:rPr>
          <w:i/>
          <w:iCs/>
        </w:rPr>
      </w:pPr>
      <w:r w:rsidRPr="00EF09EF">
        <w:rPr>
          <w:i/>
          <w:iCs/>
        </w:rPr>
        <w:t>Where a Scheme Shareholder has cast some of their votes “for” and some of their votes “against” the resolution, such Scheme Shareholder has been counted as having voted both “for” and “against” the resolution for the purposes of determining the number and percentage of Scheme Shareholders who voted as set out in this row.</w:t>
      </w:r>
    </w:p>
    <w:p w14:paraId="56AE5434" w14:textId="77777777" w:rsidR="00E91940" w:rsidRPr="00EF09EF" w:rsidRDefault="00E91940" w:rsidP="00EF09EF">
      <w:pPr>
        <w:pStyle w:val="BodyText"/>
        <w:numPr>
          <w:ilvl w:val="0"/>
          <w:numId w:val="21"/>
        </w:numPr>
        <w:spacing w:after="360"/>
        <w:ind w:left="714" w:hanging="357"/>
        <w:contextualSpacing/>
        <w:rPr>
          <w:i/>
          <w:iCs/>
        </w:rPr>
      </w:pPr>
      <w:r w:rsidRPr="00E91940">
        <w:rPr>
          <w:i/>
          <w:iCs/>
        </w:rPr>
        <w:t>Any proxy appointments which gave discretion to the Chairman have been included in the vote 'For' total.</w:t>
      </w:r>
    </w:p>
    <w:p w14:paraId="2C9C0EEE" w14:textId="77777777" w:rsidR="00EF09EF" w:rsidRDefault="00EF09EF">
      <w:pPr>
        <w:pStyle w:val="BodyText"/>
      </w:pPr>
    </w:p>
    <w:p w14:paraId="79F592A8" w14:textId="77777777" w:rsidR="00EF09EF" w:rsidRDefault="00904483" w:rsidP="00EF09EF">
      <w:pPr>
        <w:pStyle w:val="BodyText"/>
        <w:rPr>
          <w:b/>
          <w:bCs/>
        </w:rPr>
      </w:pPr>
      <w:r w:rsidRPr="00EF09EF">
        <w:rPr>
          <w:b/>
          <w:bCs/>
        </w:rPr>
        <w:t>Number of S</w:t>
      </w:r>
      <w:r>
        <w:rPr>
          <w:b/>
          <w:bCs/>
        </w:rPr>
        <w:t>cS</w:t>
      </w:r>
      <w:r w:rsidRPr="00EF09EF">
        <w:rPr>
          <w:b/>
          <w:bCs/>
        </w:rPr>
        <w:t xml:space="preserve"> Shareholders </w:t>
      </w:r>
      <w:proofErr w:type="gramStart"/>
      <w:r w:rsidRPr="00EF09EF">
        <w:rPr>
          <w:b/>
          <w:bCs/>
        </w:rPr>
        <w:t>voting</w:t>
      </w:r>
      <w:proofErr w:type="gramEnd"/>
      <w:r w:rsidRPr="00EF09EF">
        <w:rPr>
          <w:b/>
          <w:bCs/>
        </w:rPr>
        <w:t xml:space="preserve"> and votes cast at the </w:t>
      </w:r>
      <w:r>
        <w:rPr>
          <w:b/>
          <w:bCs/>
        </w:rPr>
        <w:t>General</w:t>
      </w:r>
      <w:r w:rsidRPr="00EF09EF">
        <w:rPr>
          <w:b/>
          <w:bCs/>
        </w:rPr>
        <w:t xml:space="preserve"> Meeting </w:t>
      </w:r>
    </w:p>
    <w:p w14:paraId="5D0831D6" w14:textId="051A62CF" w:rsidR="00DA04B9" w:rsidRPr="00DA04B9" w:rsidRDefault="00904483" w:rsidP="00EF09EF">
      <w:pPr>
        <w:pStyle w:val="BodyText"/>
      </w:pPr>
      <w:r>
        <w:t xml:space="preserve">The table below sets out </w:t>
      </w:r>
      <w:r w:rsidRPr="00DA04B9">
        <w:rPr>
          <w:bCs/>
        </w:rPr>
        <w:t>the results of the poll at the General Meeting</w:t>
      </w:r>
      <w:r>
        <w:rPr>
          <w:bCs/>
        </w:rPr>
        <w:t xml:space="preserve"> </w:t>
      </w:r>
      <w:r w:rsidRPr="00EF09EF">
        <w:t xml:space="preserve">held on 21 </w:t>
      </w:r>
      <w:r>
        <w:t>December</w:t>
      </w:r>
      <w:r w:rsidRPr="00EF09EF">
        <w:t xml:space="preserve"> 2023</w:t>
      </w:r>
      <w:r>
        <w:t xml:space="preserve"> at 10</w:t>
      </w:r>
      <w:r w:rsidR="00955681">
        <w:t>.</w:t>
      </w:r>
      <w:r>
        <w:t>45</w:t>
      </w:r>
      <w:r w:rsidR="00B51BC3">
        <w:t xml:space="preserve"> </w:t>
      </w:r>
      <w:r>
        <w:t>a.m</w:t>
      </w:r>
      <w:r w:rsidRPr="00DA04B9">
        <w:rPr>
          <w:bCs/>
        </w:rPr>
        <w:t>. Each ScS Shareholder, present in person or by proxy, was entitled to one vote per ScS Share held at the Voting Record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259"/>
        <w:gridCol w:w="1309"/>
        <w:gridCol w:w="1161"/>
        <w:gridCol w:w="1309"/>
        <w:gridCol w:w="1260"/>
        <w:gridCol w:w="1431"/>
      </w:tblGrid>
      <w:tr w:rsidR="00CA3B6E" w14:paraId="1B3D64E5" w14:textId="77777777" w:rsidTr="00C11FA0">
        <w:tc>
          <w:tcPr>
            <w:tcW w:w="1313" w:type="dxa"/>
            <w:shd w:val="clear" w:color="auto" w:fill="auto"/>
          </w:tcPr>
          <w:p w14:paraId="1E6CD3DC" w14:textId="77777777" w:rsidR="00EF09EF" w:rsidRDefault="00EF09EF">
            <w:pPr>
              <w:pStyle w:val="BodyText"/>
            </w:pPr>
          </w:p>
        </w:tc>
        <w:tc>
          <w:tcPr>
            <w:tcW w:w="2605" w:type="dxa"/>
            <w:gridSpan w:val="2"/>
            <w:shd w:val="clear" w:color="auto" w:fill="auto"/>
          </w:tcPr>
          <w:p w14:paraId="50084EBA" w14:textId="6C3C3E59" w:rsidR="00EF09EF" w:rsidRPr="00E86941" w:rsidRDefault="00904483">
            <w:pPr>
              <w:pStyle w:val="BodyText"/>
              <w:rPr>
                <w:b/>
                <w:bCs/>
              </w:rPr>
            </w:pPr>
            <w:proofErr w:type="gramStart"/>
            <w:r w:rsidRPr="00E86941">
              <w:rPr>
                <w:b/>
                <w:bCs/>
              </w:rPr>
              <w:t>FOR</w:t>
            </w:r>
            <w:r w:rsidR="00E91940" w:rsidRPr="00FE7C66">
              <w:rPr>
                <w:b/>
                <w:bCs/>
                <w:vertAlign w:val="superscript"/>
              </w:rPr>
              <w:t>(</w:t>
            </w:r>
            <w:proofErr w:type="gramEnd"/>
            <w:r w:rsidR="00E91940" w:rsidRPr="00FE7C66">
              <w:rPr>
                <w:b/>
                <w:bCs/>
                <w:vertAlign w:val="superscript"/>
              </w:rPr>
              <w:t>3)</w:t>
            </w:r>
          </w:p>
        </w:tc>
        <w:tc>
          <w:tcPr>
            <w:tcW w:w="2605" w:type="dxa"/>
            <w:gridSpan w:val="2"/>
            <w:shd w:val="clear" w:color="auto" w:fill="auto"/>
          </w:tcPr>
          <w:p w14:paraId="69C10B10" w14:textId="77777777" w:rsidR="00EF09EF" w:rsidRPr="00E86941" w:rsidRDefault="00904483">
            <w:pPr>
              <w:pStyle w:val="BodyText"/>
              <w:rPr>
                <w:b/>
                <w:bCs/>
              </w:rPr>
            </w:pPr>
            <w:r w:rsidRPr="00E86941">
              <w:rPr>
                <w:b/>
                <w:bCs/>
              </w:rPr>
              <w:t>AGAINST</w:t>
            </w:r>
          </w:p>
        </w:tc>
        <w:tc>
          <w:tcPr>
            <w:tcW w:w="1288" w:type="dxa"/>
            <w:shd w:val="clear" w:color="auto" w:fill="auto"/>
          </w:tcPr>
          <w:p w14:paraId="2DD24852" w14:textId="77777777" w:rsidR="00EF09EF" w:rsidRPr="00E86941" w:rsidRDefault="00904483">
            <w:pPr>
              <w:pStyle w:val="BodyText"/>
              <w:rPr>
                <w:b/>
                <w:bCs/>
              </w:rPr>
            </w:pPr>
            <w:r w:rsidRPr="00E86941">
              <w:rPr>
                <w:b/>
                <w:bCs/>
              </w:rPr>
              <w:t>TOTAL</w:t>
            </w:r>
          </w:p>
        </w:tc>
        <w:tc>
          <w:tcPr>
            <w:tcW w:w="1431" w:type="dxa"/>
            <w:shd w:val="clear" w:color="auto" w:fill="auto"/>
          </w:tcPr>
          <w:p w14:paraId="772D2DA7" w14:textId="77777777" w:rsidR="00EF09EF" w:rsidRPr="00E86941" w:rsidRDefault="00904483">
            <w:pPr>
              <w:pStyle w:val="BodyText"/>
              <w:rPr>
                <w:b/>
                <w:bCs/>
              </w:rPr>
            </w:pPr>
            <w:proofErr w:type="gramStart"/>
            <w:r w:rsidRPr="00E86941">
              <w:rPr>
                <w:b/>
                <w:bCs/>
              </w:rPr>
              <w:t>WITHHELD</w:t>
            </w:r>
            <w:r w:rsidRPr="00E86941">
              <w:rPr>
                <w:b/>
                <w:bCs/>
                <w:vertAlign w:val="superscript"/>
              </w:rPr>
              <w:t>(</w:t>
            </w:r>
            <w:proofErr w:type="gramEnd"/>
            <w:r w:rsidRPr="00E86941">
              <w:rPr>
                <w:b/>
                <w:bCs/>
                <w:vertAlign w:val="superscript"/>
              </w:rPr>
              <w:t>1)</w:t>
            </w:r>
          </w:p>
        </w:tc>
      </w:tr>
      <w:tr w:rsidR="00CA3B6E" w14:paraId="248475CA" w14:textId="77777777" w:rsidTr="00C11FA0">
        <w:tc>
          <w:tcPr>
            <w:tcW w:w="1313" w:type="dxa"/>
            <w:shd w:val="clear" w:color="auto" w:fill="auto"/>
          </w:tcPr>
          <w:p w14:paraId="1D54572C" w14:textId="77777777" w:rsidR="00EF09EF" w:rsidRPr="00E86941" w:rsidRDefault="00904483" w:rsidP="00EF09EF">
            <w:pPr>
              <w:pStyle w:val="BodyText"/>
              <w:rPr>
                <w:b/>
                <w:bCs/>
              </w:rPr>
            </w:pPr>
            <w:r w:rsidRPr="00E86941">
              <w:rPr>
                <w:b/>
                <w:bCs/>
              </w:rPr>
              <w:t>Special Resolution</w:t>
            </w:r>
          </w:p>
        </w:tc>
        <w:tc>
          <w:tcPr>
            <w:tcW w:w="1287" w:type="dxa"/>
            <w:shd w:val="clear" w:color="auto" w:fill="auto"/>
          </w:tcPr>
          <w:p w14:paraId="47A0EC61" w14:textId="77777777" w:rsidR="00EF09EF" w:rsidRPr="00E86941" w:rsidRDefault="00904483" w:rsidP="00EF09EF">
            <w:pPr>
              <w:pStyle w:val="BodyText"/>
              <w:rPr>
                <w:b/>
                <w:bCs/>
              </w:rPr>
            </w:pPr>
            <w:r w:rsidRPr="00E86941">
              <w:rPr>
                <w:b/>
                <w:bCs/>
              </w:rPr>
              <w:t>Number of votes</w:t>
            </w:r>
          </w:p>
        </w:tc>
        <w:tc>
          <w:tcPr>
            <w:tcW w:w="1318" w:type="dxa"/>
            <w:shd w:val="clear" w:color="auto" w:fill="auto"/>
          </w:tcPr>
          <w:p w14:paraId="03992454" w14:textId="77777777" w:rsidR="00EF09EF" w:rsidRPr="00E86941" w:rsidRDefault="00904483" w:rsidP="00EF09EF">
            <w:pPr>
              <w:pStyle w:val="BodyText"/>
              <w:rPr>
                <w:b/>
                <w:bCs/>
              </w:rPr>
            </w:pPr>
            <w:r w:rsidRPr="00E86941">
              <w:rPr>
                <w:b/>
                <w:bCs/>
              </w:rPr>
              <w:t xml:space="preserve">Percentage of votes </w:t>
            </w:r>
            <w:r w:rsidRPr="00E86941">
              <w:rPr>
                <w:b/>
                <w:bCs/>
                <w:vertAlign w:val="superscript"/>
              </w:rPr>
              <w:t>(2)</w:t>
            </w:r>
          </w:p>
        </w:tc>
        <w:tc>
          <w:tcPr>
            <w:tcW w:w="1287" w:type="dxa"/>
            <w:shd w:val="clear" w:color="auto" w:fill="auto"/>
          </w:tcPr>
          <w:p w14:paraId="25134AE3" w14:textId="77777777" w:rsidR="00EF09EF" w:rsidRPr="00E86941" w:rsidRDefault="00904483" w:rsidP="00EF09EF">
            <w:pPr>
              <w:pStyle w:val="BodyText"/>
              <w:rPr>
                <w:b/>
                <w:bCs/>
              </w:rPr>
            </w:pPr>
            <w:r w:rsidRPr="00E86941">
              <w:rPr>
                <w:b/>
                <w:bCs/>
              </w:rPr>
              <w:t>Number of votes</w:t>
            </w:r>
          </w:p>
        </w:tc>
        <w:tc>
          <w:tcPr>
            <w:tcW w:w="1318" w:type="dxa"/>
            <w:shd w:val="clear" w:color="auto" w:fill="auto"/>
          </w:tcPr>
          <w:p w14:paraId="702CABEC" w14:textId="77777777" w:rsidR="00EF09EF" w:rsidRPr="00E86941" w:rsidRDefault="00904483" w:rsidP="00EF09EF">
            <w:pPr>
              <w:pStyle w:val="BodyText"/>
              <w:rPr>
                <w:b/>
                <w:bCs/>
              </w:rPr>
            </w:pPr>
            <w:r w:rsidRPr="00E86941">
              <w:rPr>
                <w:b/>
                <w:bCs/>
              </w:rPr>
              <w:t xml:space="preserve">Percentage of votes </w:t>
            </w:r>
            <w:r w:rsidRPr="00E86941">
              <w:rPr>
                <w:b/>
                <w:bCs/>
                <w:vertAlign w:val="superscript"/>
              </w:rPr>
              <w:t>(2)</w:t>
            </w:r>
          </w:p>
        </w:tc>
        <w:tc>
          <w:tcPr>
            <w:tcW w:w="1288" w:type="dxa"/>
            <w:shd w:val="clear" w:color="auto" w:fill="auto"/>
          </w:tcPr>
          <w:p w14:paraId="7CCC652E" w14:textId="77777777" w:rsidR="00EF09EF" w:rsidRPr="00E86941" w:rsidRDefault="00904483" w:rsidP="00EF09EF">
            <w:pPr>
              <w:pStyle w:val="BodyText"/>
              <w:rPr>
                <w:b/>
                <w:bCs/>
              </w:rPr>
            </w:pPr>
            <w:r w:rsidRPr="00E86941">
              <w:rPr>
                <w:b/>
                <w:bCs/>
              </w:rPr>
              <w:t>Number of votes</w:t>
            </w:r>
          </w:p>
        </w:tc>
        <w:tc>
          <w:tcPr>
            <w:tcW w:w="1431" w:type="dxa"/>
            <w:shd w:val="clear" w:color="auto" w:fill="auto"/>
          </w:tcPr>
          <w:p w14:paraId="48529E01" w14:textId="77777777" w:rsidR="00EF09EF" w:rsidRPr="00E86941" w:rsidRDefault="00904483" w:rsidP="00EF09EF">
            <w:pPr>
              <w:pStyle w:val="BodyText"/>
              <w:rPr>
                <w:b/>
                <w:bCs/>
              </w:rPr>
            </w:pPr>
            <w:r w:rsidRPr="00E86941">
              <w:rPr>
                <w:b/>
                <w:bCs/>
              </w:rPr>
              <w:t>Number of votes</w:t>
            </w:r>
          </w:p>
        </w:tc>
      </w:tr>
      <w:tr w:rsidR="00CA3B6E" w14:paraId="3B19A114" w14:textId="77777777" w:rsidTr="00C11FA0">
        <w:tc>
          <w:tcPr>
            <w:tcW w:w="1313" w:type="dxa"/>
            <w:shd w:val="clear" w:color="auto" w:fill="auto"/>
          </w:tcPr>
          <w:p w14:paraId="08A78FAB" w14:textId="77777777" w:rsidR="00EF09EF" w:rsidRDefault="009C5F63" w:rsidP="00EF09EF">
            <w:pPr>
              <w:pStyle w:val="BodyText"/>
            </w:pPr>
            <w:r w:rsidRPr="009C5F63">
              <w:t>Scheme Resolution</w:t>
            </w:r>
          </w:p>
        </w:tc>
        <w:tc>
          <w:tcPr>
            <w:tcW w:w="1287" w:type="dxa"/>
            <w:shd w:val="clear" w:color="auto" w:fill="auto"/>
          </w:tcPr>
          <w:p w14:paraId="1F3F38F6" w14:textId="409888B2" w:rsidR="00EF09EF" w:rsidRDefault="00C4297B" w:rsidP="00EF09EF">
            <w:pPr>
              <w:pStyle w:val="BodyText"/>
            </w:pPr>
            <w:r>
              <w:t>17,149,704</w:t>
            </w:r>
          </w:p>
        </w:tc>
        <w:tc>
          <w:tcPr>
            <w:tcW w:w="1318" w:type="dxa"/>
            <w:shd w:val="clear" w:color="auto" w:fill="auto"/>
          </w:tcPr>
          <w:p w14:paraId="577904CA" w14:textId="121CD912" w:rsidR="00EF09EF" w:rsidRDefault="00C4297B" w:rsidP="00EF09EF">
            <w:pPr>
              <w:pStyle w:val="BodyText"/>
            </w:pPr>
            <w:r>
              <w:t>99.14</w:t>
            </w:r>
          </w:p>
        </w:tc>
        <w:tc>
          <w:tcPr>
            <w:tcW w:w="1287" w:type="dxa"/>
            <w:shd w:val="clear" w:color="auto" w:fill="auto"/>
          </w:tcPr>
          <w:p w14:paraId="58B9A7E7" w14:textId="64F1637A" w:rsidR="00EF09EF" w:rsidRDefault="00C4297B" w:rsidP="00EF09EF">
            <w:pPr>
              <w:pStyle w:val="BodyText"/>
            </w:pPr>
            <w:r>
              <w:t>149,422</w:t>
            </w:r>
          </w:p>
        </w:tc>
        <w:tc>
          <w:tcPr>
            <w:tcW w:w="1318" w:type="dxa"/>
            <w:shd w:val="clear" w:color="auto" w:fill="auto"/>
          </w:tcPr>
          <w:p w14:paraId="656B1FAF" w14:textId="4636D1C5" w:rsidR="00EF09EF" w:rsidRDefault="00C4297B" w:rsidP="00EF09EF">
            <w:pPr>
              <w:pStyle w:val="BodyText"/>
            </w:pPr>
            <w:r>
              <w:t>0.86</w:t>
            </w:r>
          </w:p>
        </w:tc>
        <w:tc>
          <w:tcPr>
            <w:tcW w:w="1288" w:type="dxa"/>
            <w:shd w:val="clear" w:color="auto" w:fill="auto"/>
          </w:tcPr>
          <w:p w14:paraId="59AB6373" w14:textId="0947B022" w:rsidR="00EF09EF" w:rsidRDefault="00C4297B" w:rsidP="00EF09EF">
            <w:pPr>
              <w:pStyle w:val="BodyText"/>
            </w:pPr>
            <w:r>
              <w:t>17,299,126</w:t>
            </w:r>
          </w:p>
        </w:tc>
        <w:tc>
          <w:tcPr>
            <w:tcW w:w="1431" w:type="dxa"/>
            <w:shd w:val="clear" w:color="auto" w:fill="auto"/>
          </w:tcPr>
          <w:p w14:paraId="1F131BAE" w14:textId="6EF6E884" w:rsidR="00EF09EF" w:rsidRDefault="00C4297B" w:rsidP="00EF09EF">
            <w:pPr>
              <w:pStyle w:val="BodyText"/>
            </w:pPr>
            <w:r>
              <w:t>0</w:t>
            </w:r>
          </w:p>
        </w:tc>
      </w:tr>
    </w:tbl>
    <w:p w14:paraId="61453EF3" w14:textId="77777777" w:rsidR="00EF09EF" w:rsidRPr="00EF09EF" w:rsidRDefault="00904483" w:rsidP="00EF09EF">
      <w:pPr>
        <w:pStyle w:val="BodyText"/>
        <w:numPr>
          <w:ilvl w:val="0"/>
          <w:numId w:val="22"/>
        </w:numPr>
        <w:ind w:left="714" w:hanging="357"/>
        <w:contextualSpacing/>
        <w:rPr>
          <w:i/>
          <w:iCs/>
        </w:rPr>
      </w:pPr>
      <w:r w:rsidRPr="00EF09EF">
        <w:rPr>
          <w:i/>
          <w:iCs/>
        </w:rPr>
        <w:lastRenderedPageBreak/>
        <w:t>A vote withheld is not a vote in law and is not counted in the calculation of the proportion of votes “for” or “against” the Special Resolution.</w:t>
      </w:r>
    </w:p>
    <w:p w14:paraId="388CE371" w14:textId="77777777" w:rsidR="00EF09EF" w:rsidRPr="00EF09EF" w:rsidRDefault="00904483" w:rsidP="00EF09EF">
      <w:pPr>
        <w:pStyle w:val="BodyText"/>
        <w:numPr>
          <w:ilvl w:val="0"/>
          <w:numId w:val="22"/>
        </w:numPr>
        <w:ind w:left="714" w:hanging="357"/>
        <w:contextualSpacing/>
        <w:rPr>
          <w:i/>
          <w:iCs/>
        </w:rPr>
      </w:pPr>
      <w:r w:rsidRPr="00EF09EF">
        <w:rPr>
          <w:i/>
          <w:iCs/>
        </w:rPr>
        <w:t>Rounded to two decimal places.</w:t>
      </w:r>
    </w:p>
    <w:p w14:paraId="5E30D916" w14:textId="77777777" w:rsidR="00E91940" w:rsidRPr="00E91940" w:rsidRDefault="00E91940" w:rsidP="00FE7C66">
      <w:pPr>
        <w:pStyle w:val="BodyText"/>
        <w:numPr>
          <w:ilvl w:val="0"/>
          <w:numId w:val="22"/>
        </w:numPr>
        <w:spacing w:after="360"/>
        <w:contextualSpacing/>
        <w:rPr>
          <w:i/>
          <w:iCs/>
        </w:rPr>
      </w:pPr>
      <w:r w:rsidRPr="00E91940">
        <w:rPr>
          <w:i/>
          <w:iCs/>
        </w:rPr>
        <w:t>Any proxy appointments which gave discretion to the Chairman have been included in the vote 'For' total.</w:t>
      </w:r>
    </w:p>
    <w:p w14:paraId="0FFE46DD" w14:textId="77777777" w:rsidR="00EF09EF" w:rsidRDefault="00EF09EF" w:rsidP="00EF09EF">
      <w:pPr>
        <w:pStyle w:val="BodyText"/>
      </w:pPr>
    </w:p>
    <w:p w14:paraId="28F13379" w14:textId="77777777" w:rsidR="00EF09EF" w:rsidRDefault="00904483" w:rsidP="00EF09EF">
      <w:pPr>
        <w:pStyle w:val="BodyText"/>
        <w:rPr>
          <w:b/>
          <w:bCs/>
        </w:rPr>
      </w:pPr>
      <w:r w:rsidRPr="00EF09EF">
        <w:rPr>
          <w:b/>
          <w:bCs/>
        </w:rPr>
        <w:t>Next steps and timetable</w:t>
      </w:r>
    </w:p>
    <w:p w14:paraId="485082B9" w14:textId="604D4483" w:rsidR="006704C6" w:rsidRDefault="00904483" w:rsidP="00EF09EF">
      <w:pPr>
        <w:pStyle w:val="BodyText"/>
      </w:pPr>
      <w:r w:rsidRPr="006704C6">
        <w:t xml:space="preserve">The outcome </w:t>
      </w:r>
      <w:r>
        <w:t>of the Court Meeting and the General Meeting mean</w:t>
      </w:r>
      <w:r w:rsidR="008342A9">
        <w:t>s</w:t>
      </w:r>
      <w:r>
        <w:t xml:space="preserve"> that Conditions 2(a), (b), (c) and (d)</w:t>
      </w:r>
      <w:r w:rsidR="00C11FA0">
        <w:t xml:space="preserve"> </w:t>
      </w:r>
      <w:r w:rsidR="008342A9">
        <w:t>(as set out in Part 3 (</w:t>
      </w:r>
      <w:r w:rsidR="008342A9">
        <w:rPr>
          <w:i/>
          <w:iCs/>
        </w:rPr>
        <w:t>Conditions to and Further Terms of the Acquisition</w:t>
      </w:r>
      <w:r w:rsidR="008342A9">
        <w:t xml:space="preserve">) of the Scheme Document) </w:t>
      </w:r>
      <w:r>
        <w:t>have been satisfied.</w:t>
      </w:r>
    </w:p>
    <w:p w14:paraId="53B3BDE9" w14:textId="77777777" w:rsidR="00EF09EF" w:rsidRDefault="006704C6" w:rsidP="00EF09EF">
      <w:pPr>
        <w:pStyle w:val="BodyText"/>
      </w:pPr>
      <w:r>
        <w:t xml:space="preserve">The Scheme remains subject to sanction by the Court at the </w:t>
      </w:r>
      <w:r w:rsidR="00BD7648">
        <w:t xml:space="preserve">Sanction </w:t>
      </w:r>
      <w:r>
        <w:t>Hear</w:t>
      </w:r>
      <w:r w:rsidR="00BD7648">
        <w:t xml:space="preserve">ing </w:t>
      </w:r>
      <w:r>
        <w:t xml:space="preserve">and the satisfaction </w:t>
      </w:r>
      <w:r w:rsidRPr="006704C6">
        <w:t>(or, where applicable, the waiver) of the other Conditions to the Scheme (as set out in</w:t>
      </w:r>
      <w:r w:rsidR="008342A9">
        <w:t xml:space="preserve"> Part 3 (</w:t>
      </w:r>
      <w:r w:rsidR="008342A9">
        <w:rPr>
          <w:i/>
          <w:iCs/>
        </w:rPr>
        <w:t>Conditions to and Further Terms of the Acquisition</w:t>
      </w:r>
      <w:r w:rsidR="008342A9">
        <w:t>)</w:t>
      </w:r>
      <w:r w:rsidRPr="006704C6">
        <w:t xml:space="preserve"> the Scheme Document). </w:t>
      </w:r>
    </w:p>
    <w:p w14:paraId="31897128" w14:textId="171BED80" w:rsidR="006704C6" w:rsidRDefault="00904483" w:rsidP="00EF09EF">
      <w:pPr>
        <w:pStyle w:val="BodyText"/>
      </w:pPr>
      <w:r w:rsidRPr="006704C6">
        <w:t>Subject to the Scheme receiving the sanction of the Court, the filing of the Court Order with the Registrar of Companies and the satisfaction or, where applicable, the waiver of the other Conditions, the Scheme is expected to become Effective in the f</w:t>
      </w:r>
      <w:r>
        <w:t>irst</w:t>
      </w:r>
      <w:r w:rsidRPr="006704C6">
        <w:t xml:space="preserve"> quarter of 202</w:t>
      </w:r>
      <w:r>
        <w:t>4/on 30 January 2024</w:t>
      </w:r>
      <w:r w:rsidRPr="006704C6">
        <w:t>.</w:t>
      </w:r>
    </w:p>
    <w:p w14:paraId="00C6D963" w14:textId="77777777" w:rsidR="006704C6" w:rsidRDefault="00904483" w:rsidP="00EF09EF">
      <w:pPr>
        <w:pStyle w:val="BodyText"/>
      </w:pPr>
      <w:r w:rsidRPr="006704C6">
        <w:t xml:space="preserve">The expected timetable of principal events for the implementation of the Scheme remains as set out on page 9 of the Scheme Document. If any of the key dates and/or times set out in the timetable change, </w:t>
      </w:r>
      <w:r>
        <w:t>ScS</w:t>
      </w:r>
      <w:r w:rsidRPr="006704C6">
        <w:t xml:space="preserve"> will give notice of this change by issuing an announcement through a Regulatory Information Service.</w:t>
      </w:r>
    </w:p>
    <w:p w14:paraId="678E53E0" w14:textId="440D520E" w:rsidR="006704C6" w:rsidRPr="006704C6" w:rsidRDefault="002C38E2" w:rsidP="00EF09EF">
      <w:pPr>
        <w:pStyle w:val="BodyText"/>
      </w:pPr>
      <w:r w:rsidRPr="006704C6">
        <w:t>Prior to</w:t>
      </w:r>
      <w:r w:rsidR="00E2199E">
        <w:t xml:space="preserve"> the Scheme </w:t>
      </w:r>
      <w:r w:rsidRPr="006704C6">
        <w:t>becoming</w:t>
      </w:r>
      <w:r w:rsidR="00E2199E">
        <w:t xml:space="preserve"> Effective, </w:t>
      </w:r>
      <w:r w:rsidR="00904483" w:rsidRPr="006704C6">
        <w:t xml:space="preserve">it is intended that application will be </w:t>
      </w:r>
      <w:bookmarkStart w:id="1" w:name="_Hlk152584868"/>
      <w:r w:rsidR="00904483" w:rsidRPr="006704C6">
        <w:t xml:space="preserve">made to the </w:t>
      </w:r>
      <w:r w:rsidR="00904483">
        <w:t>FCA</w:t>
      </w:r>
      <w:r w:rsidR="00904483" w:rsidRPr="006704C6">
        <w:t xml:space="preserve"> for the listing of the ScS Shares on the premium segment of the Official List to be cancelled and to the London Stock Exchange for the ScS Shares to cease to be admitted to trading on the Main Market.</w:t>
      </w:r>
      <w:r w:rsidR="00904483">
        <w:t xml:space="preserve"> </w:t>
      </w:r>
      <w:r w:rsidR="00904483" w:rsidRPr="006704C6">
        <w:t xml:space="preserve">It is intended that by </w:t>
      </w:r>
      <w:r w:rsidR="008342A9">
        <w:t>8</w:t>
      </w:r>
      <w:r w:rsidR="00904483" w:rsidRPr="006704C6">
        <w:t>.00 a.m.</w:t>
      </w:r>
      <w:r w:rsidR="008C515F">
        <w:t xml:space="preserve"> </w:t>
      </w:r>
      <w:r w:rsidR="00904483" w:rsidRPr="006704C6">
        <w:t xml:space="preserve">on the business day following the Effective Date, share certificates in respect of </w:t>
      </w:r>
      <w:r w:rsidR="00904483">
        <w:t>ScS</w:t>
      </w:r>
      <w:r w:rsidR="00904483" w:rsidRPr="006704C6">
        <w:t xml:space="preserve"> Shares will cease to be valid and entitlements to </w:t>
      </w:r>
      <w:r w:rsidR="00904483">
        <w:t>ScS</w:t>
      </w:r>
      <w:r w:rsidR="00904483" w:rsidRPr="006704C6">
        <w:t xml:space="preserve"> Shares held within CREST will be cancelled.</w:t>
      </w:r>
      <w:bookmarkEnd w:id="1"/>
    </w:p>
    <w:p w14:paraId="5A3498F5" w14:textId="77777777" w:rsidR="002A5A3D" w:rsidRDefault="001C50AC">
      <w:pPr>
        <w:pStyle w:val="BodyText"/>
        <w:rPr>
          <w:rStyle w:val="Strong"/>
          <w:i/>
          <w:iCs/>
        </w:rPr>
      </w:pPr>
      <w:bookmarkStart w:id="2" w:name="_Hlk152585465"/>
      <w:r w:rsidRPr="002E5D99">
        <w:rPr>
          <w:rStyle w:val="Strong"/>
          <w:i/>
          <w:iCs/>
        </w:rPr>
        <w:t>Enquiries</w:t>
      </w:r>
    </w:p>
    <w:tbl>
      <w:tblPr>
        <w:tblW w:w="8823" w:type="dxa"/>
        <w:tblInd w:w="-34" w:type="dxa"/>
        <w:tblLook w:val="04A0" w:firstRow="1" w:lastRow="0" w:firstColumn="1" w:lastColumn="0" w:noHBand="0" w:noVBand="1"/>
      </w:tblPr>
      <w:tblGrid>
        <w:gridCol w:w="4295"/>
        <w:gridCol w:w="4528"/>
      </w:tblGrid>
      <w:tr w:rsidR="00CA3B6E" w14:paraId="53AD8A32" w14:textId="77777777" w:rsidTr="00DB0D66">
        <w:tc>
          <w:tcPr>
            <w:tcW w:w="4295" w:type="dxa"/>
            <w:shd w:val="clear" w:color="auto" w:fill="auto"/>
          </w:tcPr>
          <w:p w14:paraId="2EDCD97A" w14:textId="77777777" w:rsidR="00C35BB6" w:rsidRPr="00581773" w:rsidRDefault="00904483" w:rsidP="00474A0A">
            <w:pPr>
              <w:autoSpaceDE w:val="0"/>
              <w:autoSpaceDN w:val="0"/>
              <w:adjustRightInd w:val="0"/>
              <w:spacing w:before="60" w:after="60" w:line="240" w:lineRule="auto"/>
              <w:jc w:val="both"/>
              <w:rPr>
                <w:rFonts w:eastAsia="Times New Roman"/>
                <w:b/>
                <w:lang w:val="en-US"/>
              </w:rPr>
            </w:pPr>
            <w:r w:rsidRPr="00581773">
              <w:rPr>
                <w:rFonts w:eastAsia="Times New Roman"/>
                <w:b/>
                <w:lang w:val="en-US"/>
              </w:rPr>
              <w:t>Poltronesofà</w:t>
            </w:r>
          </w:p>
        </w:tc>
        <w:tc>
          <w:tcPr>
            <w:tcW w:w="4528" w:type="dxa"/>
            <w:shd w:val="clear" w:color="auto" w:fill="auto"/>
          </w:tcPr>
          <w:p w14:paraId="698FFB6E" w14:textId="77777777" w:rsidR="00C35BB6" w:rsidRPr="00581773" w:rsidRDefault="00904483" w:rsidP="00474A0A">
            <w:pPr>
              <w:autoSpaceDE w:val="0"/>
              <w:autoSpaceDN w:val="0"/>
              <w:adjustRightInd w:val="0"/>
              <w:spacing w:before="60" w:after="60" w:line="240" w:lineRule="auto"/>
              <w:jc w:val="right"/>
              <w:rPr>
                <w:rFonts w:eastAsia="Times New Roman"/>
                <w:lang w:val="en-US"/>
              </w:rPr>
            </w:pPr>
            <w:r w:rsidRPr="00581773">
              <w:rPr>
                <w:rFonts w:eastAsia="Times New Roman"/>
                <w:lang w:val="en-US"/>
              </w:rPr>
              <w:t>+39 0543 757011</w:t>
            </w:r>
          </w:p>
        </w:tc>
      </w:tr>
      <w:tr w:rsidR="00CA3B6E" w14:paraId="06BE8A35" w14:textId="77777777" w:rsidTr="00DB0D66">
        <w:tc>
          <w:tcPr>
            <w:tcW w:w="4295" w:type="dxa"/>
            <w:shd w:val="clear" w:color="auto" w:fill="auto"/>
          </w:tcPr>
          <w:p w14:paraId="439B74D5" w14:textId="0F4A40F7" w:rsidR="00C35BB6" w:rsidRPr="00581773" w:rsidRDefault="00904483" w:rsidP="00474A0A">
            <w:pPr>
              <w:autoSpaceDE w:val="0"/>
              <w:autoSpaceDN w:val="0"/>
              <w:adjustRightInd w:val="0"/>
              <w:spacing w:before="60" w:after="60" w:line="240" w:lineRule="auto"/>
              <w:jc w:val="both"/>
              <w:rPr>
                <w:rFonts w:eastAsia="Times New Roman"/>
                <w:lang w:val="en-US"/>
              </w:rPr>
            </w:pPr>
            <w:r w:rsidRPr="00581773">
              <w:rPr>
                <w:rFonts w:eastAsia="Times New Roman"/>
                <w:lang w:val="en-US"/>
              </w:rPr>
              <w:t xml:space="preserve">Renzo Ricci, </w:t>
            </w:r>
            <w:r w:rsidR="008342A9" w:rsidRPr="004A281E">
              <w:rPr>
                <w:rFonts w:eastAsia="Times New Roman"/>
                <w:lang w:val="en-US"/>
              </w:rPr>
              <w:t>Sole Director</w:t>
            </w:r>
          </w:p>
        </w:tc>
        <w:tc>
          <w:tcPr>
            <w:tcW w:w="4528" w:type="dxa"/>
            <w:shd w:val="clear" w:color="auto" w:fill="auto"/>
          </w:tcPr>
          <w:p w14:paraId="3DDDF2F6" w14:textId="77777777" w:rsidR="00C35BB6" w:rsidRPr="00581773" w:rsidRDefault="00C35BB6" w:rsidP="00474A0A">
            <w:pPr>
              <w:autoSpaceDE w:val="0"/>
              <w:autoSpaceDN w:val="0"/>
              <w:adjustRightInd w:val="0"/>
              <w:spacing w:before="60" w:after="60" w:line="240" w:lineRule="auto"/>
              <w:jc w:val="right"/>
              <w:rPr>
                <w:rFonts w:eastAsia="Times New Roman"/>
                <w:lang w:val="en-US"/>
              </w:rPr>
            </w:pPr>
          </w:p>
        </w:tc>
      </w:tr>
      <w:tr w:rsidR="00CA3B6E" w14:paraId="4C029B63" w14:textId="77777777" w:rsidTr="00DB0D66">
        <w:tc>
          <w:tcPr>
            <w:tcW w:w="4295" w:type="dxa"/>
            <w:shd w:val="clear" w:color="auto" w:fill="auto"/>
          </w:tcPr>
          <w:p w14:paraId="56C8C7A1" w14:textId="77777777" w:rsidR="00C35BB6" w:rsidRPr="00581773" w:rsidRDefault="00904483" w:rsidP="00474A0A">
            <w:pPr>
              <w:autoSpaceDE w:val="0"/>
              <w:autoSpaceDN w:val="0"/>
              <w:adjustRightInd w:val="0"/>
              <w:spacing w:before="60" w:after="60" w:line="240" w:lineRule="auto"/>
              <w:jc w:val="both"/>
              <w:rPr>
                <w:rFonts w:eastAsia="Times New Roman"/>
                <w:lang w:val="en-US"/>
              </w:rPr>
            </w:pPr>
            <w:r w:rsidRPr="00581773">
              <w:rPr>
                <w:rFonts w:eastAsia="Times New Roman"/>
                <w:lang w:val="en-US"/>
              </w:rPr>
              <w:t>Nicola Sautto, Chief Financial Officer</w:t>
            </w:r>
          </w:p>
        </w:tc>
        <w:tc>
          <w:tcPr>
            <w:tcW w:w="4528" w:type="dxa"/>
            <w:shd w:val="clear" w:color="auto" w:fill="auto"/>
          </w:tcPr>
          <w:p w14:paraId="6F9F440D" w14:textId="77777777" w:rsidR="00C35BB6" w:rsidRPr="00581773" w:rsidRDefault="00C35BB6" w:rsidP="00474A0A">
            <w:pPr>
              <w:autoSpaceDE w:val="0"/>
              <w:autoSpaceDN w:val="0"/>
              <w:adjustRightInd w:val="0"/>
              <w:spacing w:before="60" w:after="60" w:line="240" w:lineRule="auto"/>
              <w:jc w:val="right"/>
              <w:rPr>
                <w:rFonts w:eastAsia="Times New Roman"/>
                <w:lang w:val="en-US"/>
              </w:rPr>
            </w:pPr>
          </w:p>
        </w:tc>
      </w:tr>
      <w:tr w:rsidR="00CA3B6E" w14:paraId="49992231" w14:textId="77777777" w:rsidTr="00DB0D66">
        <w:tc>
          <w:tcPr>
            <w:tcW w:w="4295" w:type="dxa"/>
            <w:shd w:val="clear" w:color="auto" w:fill="auto"/>
          </w:tcPr>
          <w:p w14:paraId="4EA0C2AA" w14:textId="77777777" w:rsidR="00C35BB6" w:rsidRPr="00581773" w:rsidRDefault="00904483" w:rsidP="00474A0A">
            <w:pPr>
              <w:autoSpaceDE w:val="0"/>
              <w:autoSpaceDN w:val="0"/>
              <w:adjustRightInd w:val="0"/>
              <w:spacing w:before="60" w:after="60" w:line="240" w:lineRule="auto"/>
              <w:jc w:val="both"/>
              <w:rPr>
                <w:rFonts w:eastAsia="Times New Roman"/>
                <w:b/>
                <w:lang w:val="en-US"/>
              </w:rPr>
            </w:pPr>
            <w:r w:rsidRPr="00581773">
              <w:rPr>
                <w:rFonts w:eastAsia="Times New Roman"/>
                <w:b/>
                <w:lang w:val="en-US"/>
              </w:rPr>
              <w:t>Goldman Sachs (Financial adviser to Poltronesofà)</w:t>
            </w:r>
          </w:p>
        </w:tc>
        <w:tc>
          <w:tcPr>
            <w:tcW w:w="4528" w:type="dxa"/>
            <w:shd w:val="clear" w:color="auto" w:fill="auto"/>
          </w:tcPr>
          <w:p w14:paraId="5252B290" w14:textId="77777777" w:rsidR="00C35BB6" w:rsidRPr="00581773" w:rsidRDefault="00904483" w:rsidP="00474A0A">
            <w:pPr>
              <w:autoSpaceDE w:val="0"/>
              <w:autoSpaceDN w:val="0"/>
              <w:adjustRightInd w:val="0"/>
              <w:spacing w:before="60" w:after="60" w:line="240" w:lineRule="auto"/>
              <w:jc w:val="right"/>
              <w:rPr>
                <w:rFonts w:eastAsia="Times New Roman"/>
                <w:lang w:val="en-US"/>
              </w:rPr>
            </w:pPr>
            <w:r w:rsidRPr="00581773">
              <w:rPr>
                <w:rFonts w:eastAsia="Times New Roman"/>
                <w:lang w:val="en-US"/>
              </w:rPr>
              <w:t>+44 (0)207 774 1000</w:t>
            </w:r>
          </w:p>
        </w:tc>
      </w:tr>
      <w:tr w:rsidR="00CA3B6E" w14:paraId="57202788" w14:textId="77777777" w:rsidTr="00DB0D66">
        <w:tc>
          <w:tcPr>
            <w:tcW w:w="4295" w:type="dxa"/>
            <w:shd w:val="clear" w:color="auto" w:fill="auto"/>
          </w:tcPr>
          <w:p w14:paraId="12C19083" w14:textId="77777777" w:rsidR="00C35BB6" w:rsidRPr="00581773" w:rsidRDefault="00904483" w:rsidP="00474A0A">
            <w:pPr>
              <w:autoSpaceDE w:val="0"/>
              <w:autoSpaceDN w:val="0"/>
              <w:adjustRightInd w:val="0"/>
              <w:spacing w:before="60" w:after="60" w:line="240" w:lineRule="auto"/>
              <w:jc w:val="both"/>
              <w:rPr>
                <w:rFonts w:eastAsia="Times New Roman"/>
                <w:lang w:val="en-US"/>
              </w:rPr>
            </w:pPr>
            <w:r w:rsidRPr="00581773">
              <w:rPr>
                <w:rFonts w:eastAsia="Times New Roman"/>
                <w:iCs/>
                <w:lang w:val="en-US"/>
              </w:rPr>
              <w:t>Chris Emmerson</w:t>
            </w:r>
          </w:p>
        </w:tc>
        <w:tc>
          <w:tcPr>
            <w:tcW w:w="4528" w:type="dxa"/>
            <w:shd w:val="clear" w:color="auto" w:fill="auto"/>
          </w:tcPr>
          <w:p w14:paraId="26D1BBD8" w14:textId="77777777" w:rsidR="00C35BB6" w:rsidRPr="00581773" w:rsidRDefault="00C35BB6" w:rsidP="00474A0A">
            <w:pPr>
              <w:autoSpaceDE w:val="0"/>
              <w:autoSpaceDN w:val="0"/>
              <w:adjustRightInd w:val="0"/>
              <w:spacing w:before="60" w:after="60" w:line="240" w:lineRule="auto"/>
              <w:jc w:val="right"/>
              <w:rPr>
                <w:rFonts w:eastAsia="Times New Roman"/>
                <w:lang w:val="en-US"/>
              </w:rPr>
            </w:pPr>
          </w:p>
        </w:tc>
      </w:tr>
      <w:tr w:rsidR="00CA3B6E" w14:paraId="4C85A8C0" w14:textId="77777777" w:rsidTr="00DB0D66">
        <w:trPr>
          <w:trHeight w:val="571"/>
        </w:trPr>
        <w:tc>
          <w:tcPr>
            <w:tcW w:w="4295" w:type="dxa"/>
            <w:shd w:val="clear" w:color="auto" w:fill="auto"/>
          </w:tcPr>
          <w:p w14:paraId="079972FD" w14:textId="77777777" w:rsidR="00C35BB6" w:rsidRPr="00581773" w:rsidRDefault="00904483" w:rsidP="00474A0A">
            <w:pPr>
              <w:autoSpaceDE w:val="0"/>
              <w:autoSpaceDN w:val="0"/>
              <w:adjustRightInd w:val="0"/>
              <w:spacing w:before="60" w:after="60" w:line="240" w:lineRule="auto"/>
              <w:jc w:val="both"/>
              <w:rPr>
                <w:rFonts w:eastAsia="Times New Roman"/>
                <w:lang w:val="en-US"/>
              </w:rPr>
            </w:pPr>
            <w:r w:rsidRPr="00581773">
              <w:rPr>
                <w:rFonts w:eastAsia="Times New Roman"/>
                <w:iCs/>
                <w:lang w:val="en-US"/>
              </w:rPr>
              <w:t>Giuseppe Pipitone</w:t>
            </w:r>
          </w:p>
        </w:tc>
        <w:tc>
          <w:tcPr>
            <w:tcW w:w="4528" w:type="dxa"/>
            <w:shd w:val="clear" w:color="auto" w:fill="auto"/>
          </w:tcPr>
          <w:p w14:paraId="24DCFA93" w14:textId="77777777" w:rsidR="00C35BB6" w:rsidRPr="00581773" w:rsidRDefault="00C35BB6" w:rsidP="00474A0A">
            <w:pPr>
              <w:autoSpaceDE w:val="0"/>
              <w:autoSpaceDN w:val="0"/>
              <w:adjustRightInd w:val="0"/>
              <w:spacing w:before="60" w:after="60" w:line="240" w:lineRule="auto"/>
              <w:jc w:val="right"/>
              <w:rPr>
                <w:rFonts w:eastAsia="Times New Roman"/>
                <w:lang w:val="en-US"/>
              </w:rPr>
            </w:pPr>
          </w:p>
        </w:tc>
      </w:tr>
      <w:tr w:rsidR="00CA3B6E" w14:paraId="1F304F6D" w14:textId="77777777" w:rsidTr="00DB0D66">
        <w:tc>
          <w:tcPr>
            <w:tcW w:w="4295" w:type="dxa"/>
            <w:shd w:val="clear" w:color="auto" w:fill="auto"/>
          </w:tcPr>
          <w:p w14:paraId="3EA7B54D" w14:textId="77777777" w:rsidR="00C35BB6" w:rsidRPr="00581773" w:rsidRDefault="00904483" w:rsidP="00474A0A">
            <w:pPr>
              <w:autoSpaceDE w:val="0"/>
              <w:autoSpaceDN w:val="0"/>
              <w:adjustRightInd w:val="0"/>
              <w:spacing w:before="60" w:after="60" w:line="240" w:lineRule="auto"/>
              <w:jc w:val="both"/>
              <w:rPr>
                <w:rFonts w:eastAsia="Times New Roman"/>
                <w:b/>
                <w:lang w:val="en-US"/>
              </w:rPr>
            </w:pPr>
            <w:r w:rsidRPr="00581773">
              <w:rPr>
                <w:rFonts w:eastAsia="Times New Roman"/>
                <w:b/>
                <w:lang w:val="en-US"/>
              </w:rPr>
              <w:t>ScS Group plc</w:t>
            </w:r>
          </w:p>
        </w:tc>
        <w:tc>
          <w:tcPr>
            <w:tcW w:w="4528" w:type="dxa"/>
            <w:shd w:val="clear" w:color="auto" w:fill="auto"/>
          </w:tcPr>
          <w:p w14:paraId="42E325DC" w14:textId="77777777" w:rsidR="00C35BB6" w:rsidRPr="00581773" w:rsidRDefault="00904483" w:rsidP="00474A0A">
            <w:pPr>
              <w:autoSpaceDE w:val="0"/>
              <w:autoSpaceDN w:val="0"/>
              <w:adjustRightInd w:val="0"/>
              <w:spacing w:before="60" w:after="60" w:line="240" w:lineRule="auto"/>
              <w:jc w:val="right"/>
              <w:rPr>
                <w:rFonts w:eastAsia="Times New Roman"/>
                <w:lang w:val="en-US"/>
              </w:rPr>
            </w:pPr>
            <w:r w:rsidRPr="00581773">
              <w:rPr>
                <w:rFonts w:eastAsia="Times New Roman"/>
                <w:lang w:val="en-US"/>
              </w:rPr>
              <w:t>+44 (0)20 7466 5000</w:t>
            </w:r>
          </w:p>
        </w:tc>
      </w:tr>
      <w:tr w:rsidR="00CA3B6E" w14:paraId="7E60D3AC" w14:textId="77777777" w:rsidTr="00DB0D66">
        <w:tc>
          <w:tcPr>
            <w:tcW w:w="4295" w:type="dxa"/>
            <w:shd w:val="clear" w:color="auto" w:fill="auto"/>
          </w:tcPr>
          <w:p w14:paraId="1B63CEA8" w14:textId="77777777" w:rsidR="00C35BB6" w:rsidRPr="00581773" w:rsidRDefault="00904483" w:rsidP="00474A0A">
            <w:pPr>
              <w:autoSpaceDE w:val="0"/>
              <w:autoSpaceDN w:val="0"/>
              <w:adjustRightInd w:val="0"/>
              <w:spacing w:before="60" w:after="60" w:line="240" w:lineRule="auto"/>
              <w:jc w:val="both"/>
              <w:rPr>
                <w:rFonts w:eastAsia="Times New Roman"/>
                <w:lang w:val="en-US"/>
              </w:rPr>
            </w:pPr>
            <w:r w:rsidRPr="00581773">
              <w:rPr>
                <w:rFonts w:eastAsia="Times New Roman"/>
                <w:lang w:val="en-US"/>
              </w:rPr>
              <w:t>Steve Carson, Chief Executive Officer</w:t>
            </w:r>
          </w:p>
        </w:tc>
        <w:tc>
          <w:tcPr>
            <w:tcW w:w="4528" w:type="dxa"/>
            <w:shd w:val="clear" w:color="auto" w:fill="auto"/>
          </w:tcPr>
          <w:p w14:paraId="5EFBD680" w14:textId="77777777" w:rsidR="00C35BB6" w:rsidRPr="00581773" w:rsidRDefault="00C35BB6" w:rsidP="00474A0A">
            <w:pPr>
              <w:autoSpaceDE w:val="0"/>
              <w:autoSpaceDN w:val="0"/>
              <w:adjustRightInd w:val="0"/>
              <w:spacing w:before="60" w:after="60" w:line="240" w:lineRule="auto"/>
              <w:jc w:val="right"/>
              <w:rPr>
                <w:rFonts w:eastAsia="Times New Roman"/>
                <w:lang w:val="en-US"/>
              </w:rPr>
            </w:pPr>
          </w:p>
        </w:tc>
      </w:tr>
      <w:tr w:rsidR="00CA3B6E" w14:paraId="41C9D764" w14:textId="77777777" w:rsidTr="00DB0D66">
        <w:trPr>
          <w:trHeight w:val="423"/>
        </w:trPr>
        <w:tc>
          <w:tcPr>
            <w:tcW w:w="4295" w:type="dxa"/>
            <w:shd w:val="clear" w:color="auto" w:fill="auto"/>
          </w:tcPr>
          <w:p w14:paraId="63A57241" w14:textId="77777777" w:rsidR="00C35BB6" w:rsidRPr="00581773" w:rsidRDefault="00904483" w:rsidP="00474A0A">
            <w:pPr>
              <w:autoSpaceDE w:val="0"/>
              <w:autoSpaceDN w:val="0"/>
              <w:adjustRightInd w:val="0"/>
              <w:spacing w:before="60" w:after="0" w:line="240" w:lineRule="auto"/>
              <w:jc w:val="both"/>
              <w:rPr>
                <w:rFonts w:eastAsia="Times New Roman"/>
                <w:lang w:val="en-US"/>
              </w:rPr>
            </w:pPr>
            <w:r w:rsidRPr="00581773">
              <w:rPr>
                <w:rFonts w:eastAsia="Times New Roman"/>
                <w:lang w:val="en-US"/>
              </w:rPr>
              <w:t>Mark Fleetwood, Chief Financial Officer</w:t>
            </w:r>
          </w:p>
        </w:tc>
        <w:tc>
          <w:tcPr>
            <w:tcW w:w="4528" w:type="dxa"/>
            <w:shd w:val="clear" w:color="auto" w:fill="auto"/>
          </w:tcPr>
          <w:p w14:paraId="5D1D22B8" w14:textId="77777777" w:rsidR="00C35BB6" w:rsidRPr="00581773" w:rsidRDefault="00C35BB6" w:rsidP="00474A0A">
            <w:pPr>
              <w:autoSpaceDE w:val="0"/>
              <w:autoSpaceDN w:val="0"/>
              <w:adjustRightInd w:val="0"/>
              <w:spacing w:before="60" w:after="60" w:line="240" w:lineRule="auto"/>
              <w:jc w:val="right"/>
              <w:rPr>
                <w:rFonts w:eastAsia="Times New Roman"/>
                <w:lang w:val="en-US"/>
              </w:rPr>
            </w:pPr>
          </w:p>
        </w:tc>
      </w:tr>
      <w:tr w:rsidR="00CA3B6E" w14:paraId="180DB23D" w14:textId="77777777" w:rsidTr="00DB0D66">
        <w:trPr>
          <w:trHeight w:val="573"/>
        </w:trPr>
        <w:tc>
          <w:tcPr>
            <w:tcW w:w="4295" w:type="dxa"/>
            <w:shd w:val="clear" w:color="auto" w:fill="auto"/>
          </w:tcPr>
          <w:p w14:paraId="7758FC67" w14:textId="77777777" w:rsidR="00C35BB6" w:rsidRPr="00581773" w:rsidRDefault="00904483" w:rsidP="00474A0A">
            <w:pPr>
              <w:autoSpaceDE w:val="0"/>
              <w:autoSpaceDN w:val="0"/>
              <w:adjustRightInd w:val="0"/>
              <w:spacing w:after="0" w:line="240" w:lineRule="auto"/>
              <w:jc w:val="both"/>
              <w:rPr>
                <w:rFonts w:eastAsia="Times New Roman"/>
                <w:lang w:val="en-US"/>
              </w:rPr>
            </w:pPr>
            <w:r w:rsidRPr="00581773">
              <w:rPr>
                <w:rFonts w:eastAsia="Times New Roman"/>
                <w:lang w:val="en-US"/>
              </w:rPr>
              <w:t>Chris Muir, Executive Director</w:t>
            </w:r>
          </w:p>
        </w:tc>
        <w:tc>
          <w:tcPr>
            <w:tcW w:w="4528" w:type="dxa"/>
            <w:shd w:val="clear" w:color="auto" w:fill="auto"/>
          </w:tcPr>
          <w:p w14:paraId="2BD7FCE5" w14:textId="77777777" w:rsidR="00C35BB6" w:rsidRPr="00581773" w:rsidRDefault="00C35BB6" w:rsidP="00474A0A">
            <w:pPr>
              <w:autoSpaceDE w:val="0"/>
              <w:autoSpaceDN w:val="0"/>
              <w:adjustRightInd w:val="0"/>
              <w:spacing w:before="60" w:after="60" w:line="240" w:lineRule="auto"/>
              <w:jc w:val="right"/>
              <w:rPr>
                <w:rFonts w:eastAsia="Times New Roman"/>
                <w:lang w:val="en-US"/>
              </w:rPr>
            </w:pPr>
          </w:p>
        </w:tc>
      </w:tr>
      <w:tr w:rsidR="00CA3B6E" w14:paraId="6DF401C7" w14:textId="77777777" w:rsidTr="00DB0D66">
        <w:tc>
          <w:tcPr>
            <w:tcW w:w="4295" w:type="dxa"/>
            <w:shd w:val="clear" w:color="auto" w:fill="auto"/>
          </w:tcPr>
          <w:p w14:paraId="607B87DA" w14:textId="77777777" w:rsidR="00C35BB6" w:rsidRPr="00581773" w:rsidRDefault="00904483" w:rsidP="00474A0A">
            <w:pPr>
              <w:autoSpaceDE w:val="0"/>
              <w:autoSpaceDN w:val="0"/>
              <w:adjustRightInd w:val="0"/>
              <w:spacing w:before="60" w:after="60" w:line="240" w:lineRule="auto"/>
              <w:jc w:val="both"/>
              <w:rPr>
                <w:rFonts w:eastAsia="Times New Roman"/>
                <w:b/>
                <w:lang w:val="en-US"/>
              </w:rPr>
            </w:pPr>
            <w:r w:rsidRPr="00581773">
              <w:rPr>
                <w:rFonts w:eastAsia="Times New Roman"/>
                <w:b/>
                <w:lang w:val="en-US"/>
              </w:rPr>
              <w:lastRenderedPageBreak/>
              <w:t>Shore Capital (Financial adviser and Broker to ScS)</w:t>
            </w:r>
          </w:p>
        </w:tc>
        <w:tc>
          <w:tcPr>
            <w:tcW w:w="4528" w:type="dxa"/>
            <w:shd w:val="clear" w:color="auto" w:fill="auto"/>
          </w:tcPr>
          <w:p w14:paraId="7E17B126" w14:textId="77777777" w:rsidR="00C35BB6" w:rsidRPr="00581773" w:rsidRDefault="00904483" w:rsidP="00474A0A">
            <w:pPr>
              <w:autoSpaceDE w:val="0"/>
              <w:autoSpaceDN w:val="0"/>
              <w:adjustRightInd w:val="0"/>
              <w:spacing w:before="60" w:after="60" w:line="240" w:lineRule="auto"/>
              <w:jc w:val="right"/>
              <w:rPr>
                <w:rFonts w:eastAsia="Times New Roman"/>
                <w:lang w:val="en-US"/>
              </w:rPr>
            </w:pPr>
            <w:r w:rsidRPr="00581773">
              <w:rPr>
                <w:rFonts w:eastAsia="Times New Roman"/>
                <w:lang w:val="en-US"/>
              </w:rPr>
              <w:t>+44 (0)20 7408 4050</w:t>
            </w:r>
          </w:p>
        </w:tc>
      </w:tr>
      <w:tr w:rsidR="00CA3B6E" w14:paraId="5BDB3E03" w14:textId="77777777" w:rsidTr="00DB0D66">
        <w:tc>
          <w:tcPr>
            <w:tcW w:w="4295" w:type="dxa"/>
            <w:shd w:val="clear" w:color="auto" w:fill="auto"/>
          </w:tcPr>
          <w:p w14:paraId="44F51C9D" w14:textId="77777777" w:rsidR="00C35BB6" w:rsidRPr="00581773" w:rsidRDefault="00904483" w:rsidP="00474A0A">
            <w:pPr>
              <w:autoSpaceDE w:val="0"/>
              <w:autoSpaceDN w:val="0"/>
              <w:adjustRightInd w:val="0"/>
              <w:spacing w:before="60" w:after="60" w:line="240" w:lineRule="auto"/>
              <w:jc w:val="both"/>
              <w:rPr>
                <w:rFonts w:eastAsia="Times New Roman"/>
                <w:lang w:val="en-US"/>
              </w:rPr>
            </w:pPr>
            <w:r w:rsidRPr="00581773">
              <w:rPr>
                <w:rFonts w:eastAsia="Times New Roman"/>
                <w:iCs/>
                <w:lang w:val="en-US"/>
              </w:rPr>
              <w:t>Patrick Castle</w:t>
            </w:r>
          </w:p>
        </w:tc>
        <w:tc>
          <w:tcPr>
            <w:tcW w:w="4528" w:type="dxa"/>
            <w:shd w:val="clear" w:color="auto" w:fill="auto"/>
          </w:tcPr>
          <w:p w14:paraId="0A578D7A" w14:textId="77777777" w:rsidR="00C35BB6" w:rsidRPr="00581773" w:rsidRDefault="00C35BB6" w:rsidP="00474A0A">
            <w:pPr>
              <w:autoSpaceDE w:val="0"/>
              <w:autoSpaceDN w:val="0"/>
              <w:adjustRightInd w:val="0"/>
              <w:spacing w:before="60" w:after="60" w:line="240" w:lineRule="auto"/>
              <w:jc w:val="right"/>
              <w:rPr>
                <w:rFonts w:eastAsia="Times New Roman"/>
                <w:lang w:val="en-US"/>
              </w:rPr>
            </w:pPr>
          </w:p>
        </w:tc>
      </w:tr>
      <w:tr w:rsidR="00CA3B6E" w14:paraId="0C832C87" w14:textId="77777777" w:rsidTr="00DB0D66">
        <w:trPr>
          <w:trHeight w:val="429"/>
        </w:trPr>
        <w:tc>
          <w:tcPr>
            <w:tcW w:w="4295" w:type="dxa"/>
            <w:shd w:val="clear" w:color="auto" w:fill="auto"/>
          </w:tcPr>
          <w:p w14:paraId="04E6D7E1" w14:textId="77777777" w:rsidR="00C35BB6" w:rsidRPr="00581773" w:rsidRDefault="00904483" w:rsidP="00474A0A">
            <w:pPr>
              <w:autoSpaceDE w:val="0"/>
              <w:autoSpaceDN w:val="0"/>
              <w:adjustRightInd w:val="0"/>
              <w:spacing w:before="60" w:after="60" w:line="240" w:lineRule="auto"/>
              <w:rPr>
                <w:rFonts w:eastAsia="Times New Roman"/>
                <w:lang w:val="en-US"/>
              </w:rPr>
            </w:pPr>
            <w:r w:rsidRPr="00581773">
              <w:rPr>
                <w:rFonts w:eastAsia="Times New Roman"/>
                <w:iCs/>
                <w:lang w:val="en-US"/>
              </w:rPr>
              <w:t>James Thomas</w:t>
            </w:r>
          </w:p>
        </w:tc>
        <w:tc>
          <w:tcPr>
            <w:tcW w:w="4528" w:type="dxa"/>
            <w:shd w:val="clear" w:color="auto" w:fill="auto"/>
          </w:tcPr>
          <w:p w14:paraId="26F47D99" w14:textId="77777777" w:rsidR="00C35BB6" w:rsidRPr="00581773" w:rsidRDefault="00C35BB6" w:rsidP="00474A0A">
            <w:pPr>
              <w:autoSpaceDE w:val="0"/>
              <w:autoSpaceDN w:val="0"/>
              <w:adjustRightInd w:val="0"/>
              <w:spacing w:before="60" w:after="60" w:line="240" w:lineRule="auto"/>
              <w:jc w:val="right"/>
              <w:rPr>
                <w:rFonts w:eastAsia="Times New Roman"/>
                <w:lang w:val="en-US"/>
              </w:rPr>
            </w:pPr>
          </w:p>
        </w:tc>
      </w:tr>
      <w:tr w:rsidR="00CA3B6E" w14:paraId="6015432A" w14:textId="77777777" w:rsidTr="00DB0D66">
        <w:trPr>
          <w:trHeight w:val="267"/>
        </w:trPr>
        <w:tc>
          <w:tcPr>
            <w:tcW w:w="4295" w:type="dxa"/>
            <w:shd w:val="clear" w:color="auto" w:fill="auto"/>
          </w:tcPr>
          <w:p w14:paraId="1F4FF7A2" w14:textId="77777777" w:rsidR="00C35BB6" w:rsidRPr="00581773" w:rsidRDefault="00904483" w:rsidP="00474A0A">
            <w:pPr>
              <w:autoSpaceDE w:val="0"/>
              <w:autoSpaceDN w:val="0"/>
              <w:adjustRightInd w:val="0"/>
              <w:spacing w:before="60" w:after="60" w:line="240" w:lineRule="auto"/>
              <w:jc w:val="both"/>
              <w:rPr>
                <w:rFonts w:eastAsia="Times New Roman"/>
                <w:lang w:val="en-US"/>
              </w:rPr>
            </w:pPr>
            <w:r w:rsidRPr="00581773">
              <w:rPr>
                <w:rFonts w:eastAsia="Times New Roman"/>
                <w:lang w:val="en-US"/>
              </w:rPr>
              <w:t>Iain Sexton</w:t>
            </w:r>
          </w:p>
        </w:tc>
        <w:tc>
          <w:tcPr>
            <w:tcW w:w="4528" w:type="dxa"/>
            <w:shd w:val="clear" w:color="auto" w:fill="auto"/>
          </w:tcPr>
          <w:p w14:paraId="59DBCB5B" w14:textId="77777777" w:rsidR="00C35BB6" w:rsidRPr="00581773" w:rsidRDefault="00C35BB6" w:rsidP="00474A0A">
            <w:pPr>
              <w:autoSpaceDE w:val="0"/>
              <w:autoSpaceDN w:val="0"/>
              <w:adjustRightInd w:val="0"/>
              <w:spacing w:before="60" w:after="60" w:line="240" w:lineRule="auto"/>
              <w:jc w:val="right"/>
              <w:rPr>
                <w:rFonts w:eastAsia="Times New Roman"/>
                <w:iCs/>
                <w:lang w:val="en-US"/>
              </w:rPr>
            </w:pPr>
          </w:p>
        </w:tc>
      </w:tr>
      <w:tr w:rsidR="00CA3B6E" w14:paraId="33DF7AC3" w14:textId="77777777" w:rsidTr="00DB0D66">
        <w:trPr>
          <w:trHeight w:val="355"/>
        </w:trPr>
        <w:tc>
          <w:tcPr>
            <w:tcW w:w="4295" w:type="dxa"/>
            <w:shd w:val="clear" w:color="auto" w:fill="auto"/>
          </w:tcPr>
          <w:p w14:paraId="2ABE8BAF" w14:textId="77777777" w:rsidR="00C35BB6" w:rsidRPr="00581773" w:rsidRDefault="00904483" w:rsidP="00474A0A">
            <w:pPr>
              <w:autoSpaceDE w:val="0"/>
              <w:autoSpaceDN w:val="0"/>
              <w:adjustRightInd w:val="0"/>
              <w:spacing w:before="60" w:after="60" w:line="240" w:lineRule="auto"/>
              <w:jc w:val="both"/>
              <w:rPr>
                <w:rFonts w:eastAsia="Times New Roman"/>
                <w:lang w:val="en-US"/>
              </w:rPr>
            </w:pPr>
            <w:r w:rsidRPr="00581773">
              <w:rPr>
                <w:rFonts w:eastAsia="Times New Roman"/>
                <w:lang w:val="en-US"/>
              </w:rPr>
              <w:t>Ben Canning</w:t>
            </w:r>
          </w:p>
        </w:tc>
        <w:tc>
          <w:tcPr>
            <w:tcW w:w="4528" w:type="dxa"/>
            <w:shd w:val="clear" w:color="auto" w:fill="auto"/>
          </w:tcPr>
          <w:p w14:paraId="6B0181DA" w14:textId="77777777" w:rsidR="00C35BB6" w:rsidRPr="00581773" w:rsidRDefault="00C35BB6" w:rsidP="00474A0A">
            <w:pPr>
              <w:autoSpaceDE w:val="0"/>
              <w:autoSpaceDN w:val="0"/>
              <w:adjustRightInd w:val="0"/>
              <w:spacing w:before="60" w:after="60" w:line="240" w:lineRule="auto"/>
              <w:jc w:val="right"/>
              <w:rPr>
                <w:rFonts w:eastAsia="Times New Roman"/>
                <w:iCs/>
                <w:lang w:val="en-US"/>
              </w:rPr>
            </w:pPr>
          </w:p>
        </w:tc>
      </w:tr>
      <w:tr w:rsidR="00CA3B6E" w14:paraId="0666E718" w14:textId="77777777" w:rsidTr="00DB0D66">
        <w:tc>
          <w:tcPr>
            <w:tcW w:w="4295" w:type="dxa"/>
            <w:shd w:val="clear" w:color="auto" w:fill="auto"/>
          </w:tcPr>
          <w:p w14:paraId="74178ABA" w14:textId="77777777" w:rsidR="00C35BB6" w:rsidRPr="00581773" w:rsidRDefault="00904483" w:rsidP="00474A0A">
            <w:pPr>
              <w:autoSpaceDE w:val="0"/>
              <w:autoSpaceDN w:val="0"/>
              <w:adjustRightInd w:val="0"/>
              <w:spacing w:before="60" w:after="60" w:line="240" w:lineRule="auto"/>
              <w:jc w:val="both"/>
              <w:rPr>
                <w:rFonts w:eastAsia="Times New Roman"/>
                <w:b/>
                <w:lang w:val="en-US"/>
              </w:rPr>
            </w:pPr>
            <w:r w:rsidRPr="00581773">
              <w:rPr>
                <w:rFonts w:eastAsia="Times New Roman"/>
                <w:b/>
                <w:lang w:val="en-US"/>
              </w:rPr>
              <w:t>Buchanan Communications Limited (Financial PR adviser to ScS)</w:t>
            </w:r>
          </w:p>
        </w:tc>
        <w:tc>
          <w:tcPr>
            <w:tcW w:w="4528" w:type="dxa"/>
            <w:shd w:val="clear" w:color="auto" w:fill="auto"/>
          </w:tcPr>
          <w:p w14:paraId="4631FA94" w14:textId="77777777" w:rsidR="00C35BB6" w:rsidRPr="00581773" w:rsidRDefault="00904483" w:rsidP="00474A0A">
            <w:pPr>
              <w:autoSpaceDE w:val="0"/>
              <w:autoSpaceDN w:val="0"/>
              <w:adjustRightInd w:val="0"/>
              <w:spacing w:before="60" w:after="60" w:line="240" w:lineRule="auto"/>
              <w:jc w:val="right"/>
              <w:rPr>
                <w:rFonts w:eastAsia="Times New Roman"/>
                <w:lang w:val="en-US"/>
              </w:rPr>
            </w:pPr>
            <w:r w:rsidRPr="00581773">
              <w:rPr>
                <w:rFonts w:eastAsia="Times New Roman"/>
                <w:lang w:val="en-US"/>
              </w:rPr>
              <w:t>+44 (0)20 7466 5000</w:t>
            </w:r>
          </w:p>
        </w:tc>
      </w:tr>
      <w:tr w:rsidR="00CA3B6E" w14:paraId="4099F820" w14:textId="77777777" w:rsidTr="00DB0D66">
        <w:tc>
          <w:tcPr>
            <w:tcW w:w="4295" w:type="dxa"/>
            <w:shd w:val="clear" w:color="auto" w:fill="auto"/>
          </w:tcPr>
          <w:p w14:paraId="34BC49B4" w14:textId="77777777" w:rsidR="00C35BB6" w:rsidRPr="00581773" w:rsidRDefault="00904483" w:rsidP="00474A0A">
            <w:pPr>
              <w:autoSpaceDE w:val="0"/>
              <w:autoSpaceDN w:val="0"/>
              <w:adjustRightInd w:val="0"/>
              <w:spacing w:before="60" w:after="60" w:line="240" w:lineRule="auto"/>
              <w:jc w:val="both"/>
              <w:rPr>
                <w:rFonts w:eastAsia="Times New Roman"/>
                <w:lang w:val="en-US"/>
              </w:rPr>
            </w:pPr>
            <w:r w:rsidRPr="00581773">
              <w:rPr>
                <w:rFonts w:eastAsia="Times New Roman"/>
                <w:lang w:val="en-US"/>
              </w:rPr>
              <w:t>Richard Oldworth</w:t>
            </w:r>
          </w:p>
        </w:tc>
        <w:tc>
          <w:tcPr>
            <w:tcW w:w="4528" w:type="dxa"/>
            <w:shd w:val="clear" w:color="auto" w:fill="auto"/>
          </w:tcPr>
          <w:p w14:paraId="36644AE5" w14:textId="77777777" w:rsidR="00C35BB6" w:rsidRPr="00581773" w:rsidRDefault="00904483" w:rsidP="00474A0A">
            <w:pPr>
              <w:autoSpaceDE w:val="0"/>
              <w:autoSpaceDN w:val="0"/>
              <w:adjustRightInd w:val="0"/>
              <w:spacing w:before="60" w:after="60" w:line="240" w:lineRule="auto"/>
              <w:jc w:val="right"/>
              <w:rPr>
                <w:rFonts w:eastAsia="Times New Roman"/>
                <w:lang w:val="en-US"/>
              </w:rPr>
            </w:pPr>
            <w:r w:rsidRPr="00581773">
              <w:rPr>
                <w:rFonts w:eastAsia="Times New Roman"/>
                <w:lang w:val="en-US"/>
              </w:rPr>
              <w:t>scs@buchanan.uk.com</w:t>
            </w:r>
          </w:p>
        </w:tc>
      </w:tr>
      <w:tr w:rsidR="00CA3B6E" w14:paraId="78CA5455" w14:textId="77777777" w:rsidTr="00DB0D66">
        <w:tc>
          <w:tcPr>
            <w:tcW w:w="4295" w:type="dxa"/>
            <w:shd w:val="clear" w:color="auto" w:fill="auto"/>
          </w:tcPr>
          <w:p w14:paraId="6DD0C1A8" w14:textId="77777777" w:rsidR="00C35BB6" w:rsidRPr="00581773" w:rsidRDefault="00904483" w:rsidP="00474A0A">
            <w:pPr>
              <w:autoSpaceDE w:val="0"/>
              <w:autoSpaceDN w:val="0"/>
              <w:adjustRightInd w:val="0"/>
              <w:spacing w:before="60" w:after="60" w:line="240" w:lineRule="auto"/>
              <w:jc w:val="both"/>
              <w:rPr>
                <w:rFonts w:eastAsia="Times New Roman"/>
                <w:i/>
                <w:iCs/>
                <w:lang w:val="en-US"/>
              </w:rPr>
            </w:pPr>
            <w:r w:rsidRPr="00581773">
              <w:rPr>
                <w:rFonts w:eastAsia="Times New Roman"/>
                <w:lang w:val="en-US"/>
              </w:rPr>
              <w:t>Toto Berger</w:t>
            </w:r>
          </w:p>
        </w:tc>
        <w:tc>
          <w:tcPr>
            <w:tcW w:w="4528" w:type="dxa"/>
            <w:shd w:val="clear" w:color="auto" w:fill="auto"/>
          </w:tcPr>
          <w:p w14:paraId="7CA248A8" w14:textId="77777777" w:rsidR="00C35BB6" w:rsidRPr="00581773" w:rsidRDefault="00C35BB6" w:rsidP="00474A0A">
            <w:pPr>
              <w:autoSpaceDE w:val="0"/>
              <w:autoSpaceDN w:val="0"/>
              <w:adjustRightInd w:val="0"/>
              <w:spacing w:before="60" w:after="60" w:line="240" w:lineRule="auto"/>
              <w:jc w:val="right"/>
              <w:rPr>
                <w:rFonts w:eastAsia="Times New Roman"/>
                <w:iCs/>
                <w:lang w:val="en-US"/>
              </w:rPr>
            </w:pPr>
          </w:p>
        </w:tc>
      </w:tr>
      <w:tr w:rsidR="00CA3B6E" w14:paraId="1BE14D1A" w14:textId="77777777" w:rsidTr="00DB0D66">
        <w:tc>
          <w:tcPr>
            <w:tcW w:w="4295" w:type="dxa"/>
            <w:shd w:val="clear" w:color="auto" w:fill="auto"/>
          </w:tcPr>
          <w:p w14:paraId="05123219" w14:textId="77777777" w:rsidR="00C35BB6" w:rsidRPr="00581773" w:rsidRDefault="00904483" w:rsidP="00474A0A">
            <w:pPr>
              <w:autoSpaceDE w:val="0"/>
              <w:autoSpaceDN w:val="0"/>
              <w:adjustRightInd w:val="0"/>
              <w:spacing w:before="60" w:after="60" w:line="240" w:lineRule="auto"/>
              <w:jc w:val="both"/>
              <w:rPr>
                <w:rFonts w:eastAsia="Times New Roman"/>
                <w:i/>
                <w:iCs/>
                <w:lang w:val="en-US"/>
              </w:rPr>
            </w:pPr>
            <w:r w:rsidRPr="00581773">
              <w:rPr>
                <w:rFonts w:eastAsia="Times New Roman"/>
                <w:lang w:val="en-US"/>
              </w:rPr>
              <w:t>Verity Parker</w:t>
            </w:r>
          </w:p>
        </w:tc>
        <w:tc>
          <w:tcPr>
            <w:tcW w:w="4528" w:type="dxa"/>
            <w:shd w:val="clear" w:color="auto" w:fill="auto"/>
          </w:tcPr>
          <w:p w14:paraId="2618AE3E" w14:textId="77777777" w:rsidR="00C35BB6" w:rsidRPr="00581773" w:rsidRDefault="00C35BB6" w:rsidP="00474A0A">
            <w:pPr>
              <w:autoSpaceDE w:val="0"/>
              <w:autoSpaceDN w:val="0"/>
              <w:adjustRightInd w:val="0"/>
              <w:spacing w:before="60" w:after="60" w:line="240" w:lineRule="auto"/>
              <w:jc w:val="right"/>
              <w:rPr>
                <w:rFonts w:eastAsia="Times New Roman"/>
                <w:lang w:val="en-US"/>
              </w:rPr>
            </w:pPr>
          </w:p>
        </w:tc>
      </w:tr>
      <w:tr w:rsidR="00CA3B6E" w14:paraId="2B959750" w14:textId="77777777" w:rsidTr="00DB0D66">
        <w:tc>
          <w:tcPr>
            <w:tcW w:w="4295" w:type="dxa"/>
            <w:shd w:val="clear" w:color="auto" w:fill="auto"/>
          </w:tcPr>
          <w:p w14:paraId="172EF240" w14:textId="77777777" w:rsidR="00C35BB6" w:rsidRPr="00581773" w:rsidRDefault="00904483" w:rsidP="00474A0A">
            <w:pPr>
              <w:autoSpaceDE w:val="0"/>
              <w:autoSpaceDN w:val="0"/>
              <w:adjustRightInd w:val="0"/>
              <w:spacing w:before="60" w:after="60" w:line="240" w:lineRule="auto"/>
              <w:jc w:val="both"/>
              <w:rPr>
                <w:rFonts w:eastAsia="Times New Roman"/>
                <w:b/>
                <w:bCs/>
                <w:lang w:val="en-US"/>
              </w:rPr>
            </w:pPr>
            <w:r w:rsidRPr="00581773">
              <w:rPr>
                <w:rFonts w:eastAsia="Times New Roman"/>
                <w:b/>
                <w:bCs/>
                <w:lang w:val="en-US"/>
              </w:rPr>
              <w:t xml:space="preserve">Image Building </w:t>
            </w:r>
            <w:proofErr w:type="spellStart"/>
            <w:r w:rsidRPr="00581773">
              <w:rPr>
                <w:rFonts w:eastAsia="Times New Roman"/>
                <w:b/>
                <w:bCs/>
                <w:lang w:val="en-US"/>
              </w:rPr>
              <w:t>S.r.l</w:t>
            </w:r>
            <w:proofErr w:type="spellEnd"/>
            <w:r w:rsidRPr="00581773">
              <w:rPr>
                <w:rFonts w:eastAsia="Times New Roman"/>
                <w:b/>
                <w:bCs/>
                <w:lang w:val="en-US"/>
              </w:rPr>
              <w:t xml:space="preserve">. (Financial PR adviser to </w:t>
            </w:r>
            <w:r w:rsidRPr="00581773">
              <w:rPr>
                <w:rFonts w:eastAsia="Times New Roman"/>
                <w:b/>
                <w:lang w:val="en-US"/>
              </w:rPr>
              <w:t>Poltronesofà)</w:t>
            </w:r>
          </w:p>
        </w:tc>
        <w:tc>
          <w:tcPr>
            <w:tcW w:w="4528" w:type="dxa"/>
            <w:shd w:val="clear" w:color="auto" w:fill="auto"/>
          </w:tcPr>
          <w:p w14:paraId="7F103386" w14:textId="77777777" w:rsidR="00C35BB6" w:rsidRPr="00581773" w:rsidRDefault="00904483" w:rsidP="00474A0A">
            <w:pPr>
              <w:autoSpaceDE w:val="0"/>
              <w:autoSpaceDN w:val="0"/>
              <w:adjustRightInd w:val="0"/>
              <w:spacing w:before="60" w:after="60" w:line="240" w:lineRule="auto"/>
              <w:jc w:val="right"/>
              <w:rPr>
                <w:rFonts w:eastAsia="Times New Roman"/>
                <w:lang w:val="en-US"/>
              </w:rPr>
            </w:pPr>
            <w:r w:rsidRPr="00581773">
              <w:rPr>
                <w:rFonts w:eastAsia="Times New Roman"/>
                <w:lang w:val="en-US"/>
              </w:rPr>
              <w:t>+39 0289011300</w:t>
            </w:r>
          </w:p>
        </w:tc>
      </w:tr>
      <w:tr w:rsidR="00CA3B6E" w14:paraId="38858E6D" w14:textId="77777777" w:rsidTr="00DB0D66">
        <w:tc>
          <w:tcPr>
            <w:tcW w:w="4295" w:type="dxa"/>
            <w:shd w:val="clear" w:color="auto" w:fill="auto"/>
          </w:tcPr>
          <w:p w14:paraId="24DAA6D0" w14:textId="77777777" w:rsidR="00C35BB6" w:rsidRPr="00581773" w:rsidRDefault="00904483" w:rsidP="00474A0A">
            <w:pPr>
              <w:autoSpaceDE w:val="0"/>
              <w:autoSpaceDN w:val="0"/>
              <w:adjustRightInd w:val="0"/>
              <w:spacing w:before="60" w:after="60" w:line="240" w:lineRule="auto"/>
              <w:jc w:val="both"/>
              <w:rPr>
                <w:rFonts w:eastAsia="Times New Roman"/>
                <w:lang w:val="en-US"/>
              </w:rPr>
            </w:pPr>
            <w:r w:rsidRPr="00581773">
              <w:rPr>
                <w:rFonts w:eastAsia="Times New Roman"/>
                <w:lang w:val="en-US"/>
              </w:rPr>
              <w:t xml:space="preserve">Giuliana Paoletti </w:t>
            </w:r>
          </w:p>
        </w:tc>
        <w:tc>
          <w:tcPr>
            <w:tcW w:w="4528" w:type="dxa"/>
            <w:shd w:val="clear" w:color="auto" w:fill="auto"/>
          </w:tcPr>
          <w:p w14:paraId="733E4FBA" w14:textId="77777777" w:rsidR="00C35BB6" w:rsidRPr="00581773" w:rsidRDefault="00904483" w:rsidP="00474A0A">
            <w:pPr>
              <w:autoSpaceDE w:val="0"/>
              <w:autoSpaceDN w:val="0"/>
              <w:adjustRightInd w:val="0"/>
              <w:spacing w:before="60" w:after="60" w:line="240" w:lineRule="auto"/>
              <w:jc w:val="both"/>
              <w:rPr>
                <w:rFonts w:eastAsia="Times New Roman"/>
                <w:lang w:val="en-US"/>
              </w:rPr>
            </w:pPr>
            <w:r w:rsidRPr="00581773">
              <w:rPr>
                <w:rFonts w:eastAsia="Times New Roman"/>
                <w:lang w:val="en-US"/>
              </w:rPr>
              <w:t>poltronesofa@imagebuilding.it</w:t>
            </w:r>
          </w:p>
        </w:tc>
      </w:tr>
      <w:tr w:rsidR="00CA3B6E" w14:paraId="3BA20799" w14:textId="77777777" w:rsidTr="00DB0D66">
        <w:tc>
          <w:tcPr>
            <w:tcW w:w="4295" w:type="dxa"/>
            <w:shd w:val="clear" w:color="auto" w:fill="auto"/>
          </w:tcPr>
          <w:p w14:paraId="76B5CF2D" w14:textId="77777777" w:rsidR="00C35BB6" w:rsidRPr="00581773" w:rsidRDefault="00904483" w:rsidP="00474A0A">
            <w:pPr>
              <w:autoSpaceDE w:val="0"/>
              <w:autoSpaceDN w:val="0"/>
              <w:adjustRightInd w:val="0"/>
              <w:spacing w:before="60" w:after="60" w:line="240" w:lineRule="auto"/>
              <w:jc w:val="both"/>
              <w:rPr>
                <w:rFonts w:eastAsia="Times New Roman"/>
                <w:lang w:val="en-US"/>
              </w:rPr>
            </w:pPr>
            <w:r w:rsidRPr="00581773">
              <w:rPr>
                <w:rFonts w:eastAsia="Times New Roman"/>
                <w:lang w:val="en-US"/>
              </w:rPr>
              <w:t>Rafaella Casula</w:t>
            </w:r>
          </w:p>
        </w:tc>
        <w:tc>
          <w:tcPr>
            <w:tcW w:w="4528" w:type="dxa"/>
            <w:shd w:val="clear" w:color="auto" w:fill="auto"/>
          </w:tcPr>
          <w:p w14:paraId="37D9DA8C" w14:textId="77777777" w:rsidR="00C35BB6" w:rsidRPr="00581773" w:rsidRDefault="00C35BB6" w:rsidP="00474A0A">
            <w:pPr>
              <w:autoSpaceDE w:val="0"/>
              <w:autoSpaceDN w:val="0"/>
              <w:adjustRightInd w:val="0"/>
              <w:spacing w:before="60" w:after="60" w:line="240" w:lineRule="auto"/>
              <w:jc w:val="both"/>
              <w:rPr>
                <w:rFonts w:eastAsia="Times New Roman"/>
                <w:lang w:val="en-US"/>
              </w:rPr>
            </w:pPr>
          </w:p>
        </w:tc>
      </w:tr>
      <w:tr w:rsidR="00CA3B6E" w14:paraId="26AFF788" w14:textId="77777777" w:rsidTr="00DB0D66">
        <w:tc>
          <w:tcPr>
            <w:tcW w:w="4295" w:type="dxa"/>
            <w:shd w:val="clear" w:color="auto" w:fill="auto"/>
          </w:tcPr>
          <w:p w14:paraId="520A5126" w14:textId="77777777" w:rsidR="00C35BB6" w:rsidRPr="00581773" w:rsidRDefault="00904483" w:rsidP="00474A0A">
            <w:pPr>
              <w:autoSpaceDE w:val="0"/>
              <w:autoSpaceDN w:val="0"/>
              <w:adjustRightInd w:val="0"/>
              <w:spacing w:before="60" w:after="60" w:line="240" w:lineRule="auto"/>
              <w:jc w:val="both"/>
              <w:rPr>
                <w:rFonts w:eastAsia="Times New Roman"/>
                <w:lang w:val="en-US"/>
              </w:rPr>
            </w:pPr>
            <w:r w:rsidRPr="00581773">
              <w:rPr>
                <w:rFonts w:eastAsia="Times New Roman"/>
                <w:lang w:val="en-US"/>
              </w:rPr>
              <w:t xml:space="preserve">Giusy Fusco </w:t>
            </w:r>
          </w:p>
        </w:tc>
        <w:tc>
          <w:tcPr>
            <w:tcW w:w="4528" w:type="dxa"/>
            <w:shd w:val="clear" w:color="auto" w:fill="auto"/>
          </w:tcPr>
          <w:p w14:paraId="70D7ED1A" w14:textId="77777777" w:rsidR="00C35BB6" w:rsidRPr="00581773" w:rsidRDefault="00C35BB6" w:rsidP="00474A0A">
            <w:pPr>
              <w:autoSpaceDE w:val="0"/>
              <w:autoSpaceDN w:val="0"/>
              <w:adjustRightInd w:val="0"/>
              <w:spacing w:before="60" w:after="60" w:line="240" w:lineRule="auto"/>
              <w:jc w:val="both"/>
              <w:rPr>
                <w:rFonts w:eastAsia="Times New Roman"/>
                <w:lang w:val="en-US"/>
              </w:rPr>
            </w:pPr>
          </w:p>
        </w:tc>
      </w:tr>
    </w:tbl>
    <w:p w14:paraId="47B7E443" w14:textId="77777777" w:rsidR="002E5D99" w:rsidRPr="002E5D99" w:rsidRDefault="002E5D99">
      <w:pPr>
        <w:pStyle w:val="BodyText"/>
        <w:rPr>
          <w:i/>
          <w:iCs/>
        </w:rPr>
      </w:pPr>
    </w:p>
    <w:p w14:paraId="74BCBF98" w14:textId="77777777" w:rsidR="002A5A3D" w:rsidRDefault="00DB2716">
      <w:pPr>
        <w:pStyle w:val="BodyText"/>
      </w:pPr>
      <w:r w:rsidRPr="00DB2716">
        <w:rPr>
          <w:lang w:val="en-US"/>
        </w:rPr>
        <w:t>Skadden, Arps, Slate, Meagher &amp; Flom (UK) LLP is acting as legal adviser to Poltronesofà in connection with the Acquisition. Ward Hadaway LLP is acting as legal adviser to ScS in connection with the Acquisition</w:t>
      </w:r>
      <w:r>
        <w:rPr>
          <w:lang w:val="en-US"/>
        </w:rPr>
        <w:t xml:space="preserve">. </w:t>
      </w:r>
    </w:p>
    <w:p w14:paraId="080F2195" w14:textId="77777777" w:rsidR="00DB2716" w:rsidRDefault="001C50AC">
      <w:pPr>
        <w:pStyle w:val="BodyText"/>
        <w:rPr>
          <w:rStyle w:val="Strong"/>
          <w:i/>
          <w:iCs/>
        </w:rPr>
      </w:pPr>
      <w:r w:rsidRPr="00DB2716">
        <w:rPr>
          <w:rStyle w:val="Strong"/>
          <w:i/>
          <w:iCs/>
        </w:rPr>
        <w:t>Disclaimers</w:t>
      </w:r>
    </w:p>
    <w:p w14:paraId="4788123E" w14:textId="2EAB025F" w:rsidR="00DB2716" w:rsidRPr="00AC5FC0" w:rsidRDefault="001C50AC" w:rsidP="00DB2716">
      <w:pPr>
        <w:pStyle w:val="BodyText"/>
        <w:rPr>
          <w:bCs/>
          <w:i/>
          <w:iCs/>
          <w:lang w:val="en-US"/>
        </w:rPr>
      </w:pPr>
      <w:r w:rsidRPr="00AC5FC0">
        <w:rPr>
          <w:bCs/>
          <w:i/>
          <w:iCs/>
          <w:lang w:val="en-US"/>
        </w:rPr>
        <w:t xml:space="preserve">Goldman Sachs, which is </w:t>
      </w:r>
      <w:proofErr w:type="spellStart"/>
      <w:r w:rsidRPr="00AC5FC0">
        <w:rPr>
          <w:bCs/>
          <w:i/>
          <w:iCs/>
          <w:lang w:val="en-US"/>
        </w:rPr>
        <w:t>authorised</w:t>
      </w:r>
      <w:proofErr w:type="spellEnd"/>
      <w:r w:rsidRPr="00AC5FC0">
        <w:rPr>
          <w:bCs/>
          <w:i/>
          <w:iCs/>
          <w:lang w:val="en-US"/>
        </w:rPr>
        <w:t xml:space="preserve"> and regulated in the United Kingdom by the Financial Conduct Authority is acting as financial adviser to Poltronesofà </w:t>
      </w:r>
      <w:r w:rsidR="00A05FB1">
        <w:rPr>
          <w:bCs/>
          <w:i/>
          <w:iCs/>
          <w:lang w:val="en-US"/>
        </w:rPr>
        <w:t xml:space="preserve">and BidCo </w:t>
      </w:r>
      <w:r w:rsidRPr="00AC5FC0">
        <w:rPr>
          <w:bCs/>
          <w:i/>
          <w:iCs/>
          <w:lang w:val="en-US"/>
        </w:rPr>
        <w:t xml:space="preserve">and no one else in connection with the Acquisition referred to in this announcement and will not be responsible to anyone other than Poltronesofà </w:t>
      </w:r>
      <w:r w:rsidR="00A05FB1">
        <w:rPr>
          <w:bCs/>
          <w:i/>
          <w:iCs/>
          <w:lang w:val="en-US"/>
        </w:rPr>
        <w:t xml:space="preserve">and BidCo </w:t>
      </w:r>
      <w:r w:rsidRPr="00AC5FC0">
        <w:rPr>
          <w:bCs/>
          <w:i/>
          <w:iCs/>
          <w:lang w:val="en-US"/>
        </w:rPr>
        <w:t>for providing the protections afforded to clients of Goldman Sachs or for providing advice in relation to</w:t>
      </w:r>
      <w:r w:rsidR="00955681">
        <w:rPr>
          <w:bCs/>
          <w:i/>
          <w:iCs/>
          <w:lang w:val="en-US"/>
        </w:rPr>
        <w:t xml:space="preserve"> </w:t>
      </w:r>
      <w:r w:rsidRPr="00AC5FC0">
        <w:rPr>
          <w:bCs/>
          <w:i/>
          <w:iCs/>
          <w:lang w:val="en-US"/>
        </w:rPr>
        <w:t>the contents of this announcement or any other matter referred to herein.</w:t>
      </w:r>
    </w:p>
    <w:p w14:paraId="4A30A871" w14:textId="7186CAA7" w:rsidR="00DB2716" w:rsidRPr="00AC5FC0" w:rsidRDefault="001C50AC" w:rsidP="00DB2716">
      <w:pPr>
        <w:pStyle w:val="BodyText"/>
        <w:rPr>
          <w:rStyle w:val="Strong"/>
          <w:bCs/>
          <w:i/>
          <w:iCs/>
        </w:rPr>
      </w:pPr>
      <w:r w:rsidRPr="00AC5FC0">
        <w:rPr>
          <w:bCs/>
          <w:i/>
          <w:iCs/>
          <w:lang w:val="en-US"/>
        </w:rPr>
        <w:t xml:space="preserve">Shore Capital, which is </w:t>
      </w:r>
      <w:proofErr w:type="spellStart"/>
      <w:r w:rsidRPr="00AC5FC0">
        <w:rPr>
          <w:bCs/>
          <w:i/>
          <w:iCs/>
          <w:lang w:val="en-US"/>
        </w:rPr>
        <w:t>authorised</w:t>
      </w:r>
      <w:proofErr w:type="spellEnd"/>
      <w:r w:rsidRPr="00AC5FC0">
        <w:rPr>
          <w:bCs/>
          <w:i/>
          <w:iCs/>
          <w:lang w:val="en-US"/>
        </w:rPr>
        <w:t xml:space="preserve"> and regulated in the United Kingdom by the Financial Conduct Authority is acting as financial adviser </w:t>
      </w:r>
      <w:r w:rsidR="002A0B96">
        <w:rPr>
          <w:bCs/>
          <w:i/>
          <w:iCs/>
          <w:lang w:val="en-US"/>
        </w:rPr>
        <w:t xml:space="preserve">and broker </w:t>
      </w:r>
      <w:r w:rsidRPr="00AC5FC0">
        <w:rPr>
          <w:bCs/>
          <w:i/>
          <w:iCs/>
          <w:lang w:val="en-US"/>
        </w:rPr>
        <w:t>to ScS and no one else in connection with the Acquisition referred to in this announcement and will not be responsible to anyone other than ScS for providing the protections afforded to clients of Shore Capital or for providing advice in relation to the contents of this announcement or any other matter referred to herein.</w:t>
      </w:r>
    </w:p>
    <w:p w14:paraId="47BAE1AC" w14:textId="77777777" w:rsidR="002A5A3D" w:rsidRPr="00AC5FC0" w:rsidRDefault="001C50AC" w:rsidP="00DB2716">
      <w:pPr>
        <w:pStyle w:val="BodyText"/>
        <w:rPr>
          <w:rStyle w:val="Strong"/>
          <w:i/>
          <w:iCs/>
        </w:rPr>
      </w:pPr>
      <w:r w:rsidRPr="00AC5FC0">
        <w:rPr>
          <w:rStyle w:val="Strong"/>
          <w:i/>
          <w:iCs/>
        </w:rPr>
        <w:t>Further information</w:t>
      </w:r>
    </w:p>
    <w:p w14:paraId="67706F87" w14:textId="5B196832" w:rsidR="00A05FB1" w:rsidRDefault="001C50AC" w:rsidP="00DB2716">
      <w:pPr>
        <w:widowControl w:val="0"/>
        <w:autoSpaceDE w:val="0"/>
        <w:autoSpaceDN w:val="0"/>
        <w:adjustRightInd w:val="0"/>
        <w:spacing w:after="0" w:line="240" w:lineRule="auto"/>
        <w:jc w:val="both"/>
        <w:rPr>
          <w:rFonts w:eastAsia="Times New Roman"/>
          <w:i/>
          <w:iCs/>
          <w:lang w:val="en-US"/>
        </w:rPr>
      </w:pPr>
      <w:r w:rsidRPr="00AC5FC0">
        <w:rPr>
          <w:rFonts w:eastAsia="Times New Roman"/>
          <w:i/>
          <w:iCs/>
          <w:lang w:val="en-US"/>
        </w:rPr>
        <w:t xml:space="preserve">This </w:t>
      </w:r>
      <w:r w:rsidR="002A0C6F" w:rsidRPr="00AC5FC0">
        <w:rPr>
          <w:rFonts w:eastAsia="Times New Roman"/>
          <w:i/>
          <w:iCs/>
          <w:lang w:val="en-US"/>
        </w:rPr>
        <w:t>a</w:t>
      </w:r>
      <w:r w:rsidRPr="00AC5FC0">
        <w:rPr>
          <w:rFonts w:eastAsia="Times New Roman"/>
          <w:i/>
          <w:iCs/>
          <w:lang w:val="en-US"/>
        </w:rPr>
        <w:t xml:space="preserve">nnouncement is for information purposes only and is not intended to and does not constitute, or form any part of, an offer, </w:t>
      </w:r>
      <w:proofErr w:type="gramStart"/>
      <w:r w:rsidRPr="00AC5FC0">
        <w:rPr>
          <w:rFonts w:eastAsia="Times New Roman"/>
          <w:i/>
          <w:iCs/>
          <w:lang w:val="en-US"/>
        </w:rPr>
        <w:t>invitation</w:t>
      </w:r>
      <w:proofErr w:type="gramEnd"/>
      <w:r w:rsidRPr="00AC5FC0">
        <w:rPr>
          <w:rFonts w:eastAsia="Times New Roman"/>
          <w:i/>
          <w:iCs/>
          <w:lang w:val="en-US"/>
        </w:rPr>
        <w:t xml:space="preserve"> or the solicitation of an offer to purchase or subscribe, otherwise acquire, subscribe for, sell or otherwise dispose of any securities or the solicitation of any vote or approval in any jurisdiction pursuant to the Acquisition or otherwise.</w:t>
      </w:r>
    </w:p>
    <w:p w14:paraId="5F738B65" w14:textId="77777777" w:rsidR="00A05FB1" w:rsidRDefault="00A05FB1" w:rsidP="00DB2716">
      <w:pPr>
        <w:widowControl w:val="0"/>
        <w:autoSpaceDE w:val="0"/>
        <w:autoSpaceDN w:val="0"/>
        <w:adjustRightInd w:val="0"/>
        <w:spacing w:after="0" w:line="240" w:lineRule="auto"/>
        <w:jc w:val="both"/>
        <w:rPr>
          <w:rFonts w:eastAsia="Times New Roman"/>
          <w:i/>
          <w:iCs/>
          <w:lang w:val="en-US"/>
        </w:rPr>
      </w:pPr>
    </w:p>
    <w:p w14:paraId="6EB79D78" w14:textId="78BF25FF" w:rsidR="00A05FB1" w:rsidRDefault="001C50AC" w:rsidP="00DB2716">
      <w:pPr>
        <w:widowControl w:val="0"/>
        <w:autoSpaceDE w:val="0"/>
        <w:autoSpaceDN w:val="0"/>
        <w:adjustRightInd w:val="0"/>
        <w:spacing w:after="0" w:line="240" w:lineRule="auto"/>
        <w:jc w:val="both"/>
        <w:rPr>
          <w:rFonts w:eastAsia="Times New Roman"/>
          <w:i/>
          <w:iCs/>
          <w:lang w:val="en-US"/>
        </w:rPr>
      </w:pPr>
      <w:r w:rsidRPr="00AC5FC0">
        <w:rPr>
          <w:rFonts w:eastAsia="Times New Roman"/>
          <w:i/>
          <w:iCs/>
          <w:lang w:val="en-US"/>
        </w:rPr>
        <w:t xml:space="preserve">The Acquisition </w:t>
      </w:r>
      <w:r w:rsidR="00F75976">
        <w:rPr>
          <w:rFonts w:eastAsia="Times New Roman"/>
          <w:i/>
          <w:iCs/>
          <w:lang w:val="en-US"/>
        </w:rPr>
        <w:t xml:space="preserve">is </w:t>
      </w:r>
      <w:r w:rsidRPr="00AC5FC0">
        <w:rPr>
          <w:rFonts w:eastAsia="Times New Roman"/>
          <w:i/>
          <w:iCs/>
          <w:lang w:val="en-US"/>
        </w:rPr>
        <w:t>subject to English law and to the applicable requirements of the Code, the Panel, the Listing Rules, the London Stock Exchange and the FCA.</w:t>
      </w:r>
    </w:p>
    <w:p w14:paraId="1521077F" w14:textId="77777777" w:rsidR="00A05FB1" w:rsidRDefault="00A05FB1" w:rsidP="00DB2716">
      <w:pPr>
        <w:widowControl w:val="0"/>
        <w:autoSpaceDE w:val="0"/>
        <w:autoSpaceDN w:val="0"/>
        <w:adjustRightInd w:val="0"/>
        <w:spacing w:after="0" w:line="240" w:lineRule="auto"/>
        <w:jc w:val="both"/>
        <w:rPr>
          <w:rFonts w:eastAsia="Times New Roman"/>
          <w:i/>
          <w:iCs/>
          <w:lang w:val="en-US"/>
        </w:rPr>
      </w:pPr>
    </w:p>
    <w:p w14:paraId="2F295334" w14:textId="58218DB0" w:rsidR="00DB2716" w:rsidRPr="00AC5FC0" w:rsidRDefault="001C50AC" w:rsidP="00DB2716">
      <w:pPr>
        <w:widowControl w:val="0"/>
        <w:autoSpaceDE w:val="0"/>
        <w:autoSpaceDN w:val="0"/>
        <w:adjustRightInd w:val="0"/>
        <w:spacing w:after="0" w:line="240" w:lineRule="auto"/>
        <w:jc w:val="both"/>
        <w:rPr>
          <w:rFonts w:eastAsia="Times New Roman"/>
          <w:i/>
          <w:iCs/>
          <w:lang w:val="en-US"/>
        </w:rPr>
      </w:pPr>
      <w:r w:rsidRPr="00AC5FC0">
        <w:rPr>
          <w:rFonts w:eastAsia="Times New Roman"/>
          <w:i/>
          <w:iCs/>
          <w:lang w:val="en-US"/>
        </w:rPr>
        <w:lastRenderedPageBreak/>
        <w:t>The Acquisition will be made solely by way of the Scheme Document, which contain</w:t>
      </w:r>
      <w:r w:rsidR="00F75976">
        <w:rPr>
          <w:rFonts w:eastAsia="Times New Roman"/>
          <w:i/>
          <w:iCs/>
          <w:lang w:val="en-US"/>
        </w:rPr>
        <w:t>s</w:t>
      </w:r>
      <w:r w:rsidRPr="00AC5FC0">
        <w:rPr>
          <w:rFonts w:eastAsia="Times New Roman"/>
          <w:i/>
          <w:iCs/>
          <w:lang w:val="en-US"/>
        </w:rPr>
        <w:t xml:space="preserve"> the full terms and conditions of the Acquisition. ScS Shareholders are advised to read the formal documentation in relation to the Acquisition carefully once. Each </w:t>
      </w:r>
      <w:r w:rsidRPr="00F75976">
        <w:rPr>
          <w:rFonts w:eastAsia="Times New Roman"/>
          <w:i/>
          <w:iCs/>
          <w:lang w:val="en-US"/>
        </w:rPr>
        <w:t>ScS</w:t>
      </w:r>
      <w:r w:rsidRPr="00AC5FC0">
        <w:rPr>
          <w:rFonts w:eastAsia="Times New Roman"/>
          <w:i/>
          <w:iCs/>
          <w:lang w:val="en-US"/>
        </w:rPr>
        <w:t xml:space="preserve"> Shareholder is urged to consult his or her independent professional adviser regarding the tax consequences of the Acquisition.</w:t>
      </w:r>
    </w:p>
    <w:p w14:paraId="5F69B0FB" w14:textId="77777777" w:rsidR="00DB2716" w:rsidRPr="00AC5FC0" w:rsidRDefault="00DB2716" w:rsidP="00DB2716">
      <w:pPr>
        <w:widowControl w:val="0"/>
        <w:autoSpaceDE w:val="0"/>
        <w:autoSpaceDN w:val="0"/>
        <w:adjustRightInd w:val="0"/>
        <w:spacing w:after="0" w:line="240" w:lineRule="auto"/>
        <w:jc w:val="both"/>
        <w:rPr>
          <w:rFonts w:eastAsia="Times New Roman"/>
          <w:i/>
          <w:iCs/>
          <w:lang w:val="en-US"/>
        </w:rPr>
      </w:pPr>
    </w:p>
    <w:p w14:paraId="74B764C6" w14:textId="77777777" w:rsidR="00DB2716" w:rsidRPr="00AC5FC0" w:rsidRDefault="001C50AC" w:rsidP="00DB2716">
      <w:pPr>
        <w:widowControl w:val="0"/>
        <w:autoSpaceDE w:val="0"/>
        <w:autoSpaceDN w:val="0"/>
        <w:adjustRightInd w:val="0"/>
        <w:spacing w:after="0" w:line="240" w:lineRule="auto"/>
        <w:jc w:val="both"/>
        <w:rPr>
          <w:rFonts w:eastAsia="Times New Roman"/>
          <w:i/>
          <w:iCs/>
          <w:lang w:val="en-US"/>
        </w:rPr>
      </w:pPr>
      <w:r w:rsidRPr="00AC5FC0">
        <w:rPr>
          <w:rFonts w:eastAsia="Times New Roman"/>
          <w:i/>
          <w:iCs/>
          <w:lang w:val="en-US"/>
        </w:rPr>
        <w:t xml:space="preserve">This </w:t>
      </w:r>
      <w:r w:rsidR="002A0C6F" w:rsidRPr="00AC5FC0">
        <w:rPr>
          <w:rFonts w:eastAsia="Times New Roman"/>
          <w:i/>
          <w:iCs/>
          <w:lang w:val="en-US"/>
        </w:rPr>
        <w:t>a</w:t>
      </w:r>
      <w:r w:rsidRPr="00AC5FC0">
        <w:rPr>
          <w:rFonts w:eastAsia="Times New Roman"/>
          <w:i/>
          <w:iCs/>
          <w:lang w:val="en-US"/>
        </w:rPr>
        <w:t>nnouncement does not constitute a prospectus or a prospectus equivalent document.</w:t>
      </w:r>
    </w:p>
    <w:p w14:paraId="3AA1E6BB" w14:textId="77777777" w:rsidR="00DB2716" w:rsidRPr="00AC5FC0" w:rsidRDefault="00DB2716" w:rsidP="00DB2716">
      <w:pPr>
        <w:widowControl w:val="0"/>
        <w:autoSpaceDE w:val="0"/>
        <w:autoSpaceDN w:val="0"/>
        <w:adjustRightInd w:val="0"/>
        <w:spacing w:after="0" w:line="240" w:lineRule="auto"/>
        <w:jc w:val="both"/>
        <w:rPr>
          <w:rFonts w:eastAsia="Times New Roman"/>
          <w:i/>
          <w:iCs/>
          <w:lang w:val="en-US"/>
        </w:rPr>
      </w:pPr>
    </w:p>
    <w:p w14:paraId="701D75DD" w14:textId="77777777" w:rsidR="00DB2716" w:rsidRPr="00AC5FC0" w:rsidRDefault="001C50AC" w:rsidP="00DB2716">
      <w:pPr>
        <w:widowControl w:val="0"/>
        <w:autoSpaceDE w:val="0"/>
        <w:autoSpaceDN w:val="0"/>
        <w:adjustRightInd w:val="0"/>
        <w:spacing w:after="0" w:line="240" w:lineRule="auto"/>
        <w:jc w:val="both"/>
        <w:rPr>
          <w:rFonts w:eastAsia="Times New Roman"/>
          <w:i/>
          <w:iCs/>
          <w:lang w:val="en-US"/>
        </w:rPr>
      </w:pPr>
      <w:r w:rsidRPr="00AC5FC0">
        <w:rPr>
          <w:rFonts w:eastAsia="Times New Roman"/>
          <w:i/>
          <w:iCs/>
          <w:lang w:val="en-US"/>
        </w:rPr>
        <w:t xml:space="preserve">If you are in any doubt about the contents of this </w:t>
      </w:r>
      <w:r w:rsidR="002A0C6F" w:rsidRPr="00AC5FC0">
        <w:rPr>
          <w:rFonts w:eastAsia="Times New Roman"/>
          <w:i/>
          <w:iCs/>
          <w:lang w:val="en-US"/>
        </w:rPr>
        <w:t>a</w:t>
      </w:r>
      <w:r w:rsidRPr="00AC5FC0">
        <w:rPr>
          <w:rFonts w:eastAsia="Times New Roman"/>
          <w:i/>
          <w:iCs/>
          <w:lang w:val="en-US"/>
        </w:rPr>
        <w:t xml:space="preserve">nnouncement or the action you should take, you are recommended to seek your own independent financial advice immediately from your stockbroker, bank manager, solicitor, accountant or from an independent financial adviser duly </w:t>
      </w:r>
      <w:proofErr w:type="spellStart"/>
      <w:r w:rsidRPr="00AC5FC0">
        <w:rPr>
          <w:rFonts w:eastAsia="Times New Roman"/>
          <w:i/>
          <w:iCs/>
          <w:lang w:val="en-US"/>
        </w:rPr>
        <w:t>authorised</w:t>
      </w:r>
      <w:proofErr w:type="spellEnd"/>
      <w:r w:rsidRPr="00AC5FC0">
        <w:rPr>
          <w:rFonts w:eastAsia="Times New Roman"/>
          <w:i/>
          <w:iCs/>
          <w:lang w:val="en-US"/>
        </w:rPr>
        <w:t xml:space="preserve"> under the Financial Services and Markets Act 2000 (as amended).</w:t>
      </w:r>
    </w:p>
    <w:p w14:paraId="353F88A3" w14:textId="77777777" w:rsidR="00DB2716" w:rsidRPr="00AC5FC0" w:rsidRDefault="00DB2716" w:rsidP="00DB2716">
      <w:pPr>
        <w:widowControl w:val="0"/>
        <w:autoSpaceDE w:val="0"/>
        <w:autoSpaceDN w:val="0"/>
        <w:adjustRightInd w:val="0"/>
        <w:spacing w:after="0" w:line="240" w:lineRule="auto"/>
        <w:jc w:val="both"/>
        <w:rPr>
          <w:rFonts w:eastAsia="Times New Roman"/>
          <w:i/>
          <w:iCs/>
          <w:lang w:val="en-US"/>
        </w:rPr>
      </w:pPr>
    </w:p>
    <w:p w14:paraId="616997AD" w14:textId="77777777" w:rsidR="00DB2716" w:rsidRPr="00AC5FC0" w:rsidRDefault="001C50AC" w:rsidP="00DB2716">
      <w:pPr>
        <w:widowControl w:val="0"/>
        <w:autoSpaceDE w:val="0"/>
        <w:autoSpaceDN w:val="0"/>
        <w:adjustRightInd w:val="0"/>
        <w:spacing w:after="0" w:line="240" w:lineRule="auto"/>
        <w:jc w:val="both"/>
        <w:rPr>
          <w:rFonts w:eastAsia="Times New Roman"/>
          <w:i/>
          <w:iCs/>
          <w:lang w:val="en-US"/>
        </w:rPr>
      </w:pPr>
      <w:r w:rsidRPr="00AC5FC0">
        <w:rPr>
          <w:rFonts w:eastAsia="Times New Roman"/>
          <w:i/>
          <w:iCs/>
          <w:lang w:val="en-US"/>
        </w:rPr>
        <w:t xml:space="preserve">This </w:t>
      </w:r>
      <w:r w:rsidR="002A0C6F" w:rsidRPr="00AC5FC0">
        <w:rPr>
          <w:rFonts w:eastAsia="Times New Roman"/>
          <w:i/>
          <w:iCs/>
          <w:lang w:val="en-US"/>
        </w:rPr>
        <w:t>a</w:t>
      </w:r>
      <w:r w:rsidRPr="00AC5FC0">
        <w:rPr>
          <w:rFonts w:eastAsia="Times New Roman"/>
          <w:i/>
          <w:iCs/>
          <w:lang w:val="en-US"/>
        </w:rPr>
        <w:t xml:space="preserve">nnouncement has been prepared for the purpose of complying with English law and the Code and the information disclosed may not be the same as that which would have been disclosed if this </w:t>
      </w:r>
      <w:r w:rsidR="00565402" w:rsidRPr="00AC5FC0">
        <w:rPr>
          <w:rFonts w:eastAsia="Times New Roman"/>
          <w:i/>
          <w:iCs/>
          <w:lang w:val="en-US"/>
        </w:rPr>
        <w:t>a</w:t>
      </w:r>
      <w:r w:rsidRPr="00AC5FC0">
        <w:rPr>
          <w:rFonts w:eastAsia="Times New Roman"/>
          <w:i/>
          <w:iCs/>
          <w:lang w:val="en-US"/>
        </w:rPr>
        <w:t>nnouncement had been prepared in accordance with the laws of jurisdictions outside England.</w:t>
      </w:r>
    </w:p>
    <w:p w14:paraId="2AECA61C" w14:textId="77777777" w:rsidR="00DB2716" w:rsidRPr="00AC5FC0" w:rsidRDefault="00DB2716" w:rsidP="00DB2716">
      <w:pPr>
        <w:widowControl w:val="0"/>
        <w:autoSpaceDE w:val="0"/>
        <w:autoSpaceDN w:val="0"/>
        <w:adjustRightInd w:val="0"/>
        <w:spacing w:after="0" w:line="240" w:lineRule="auto"/>
        <w:jc w:val="both"/>
        <w:rPr>
          <w:rFonts w:eastAsia="Times New Roman"/>
          <w:i/>
          <w:iCs/>
          <w:lang w:val="en-US"/>
        </w:rPr>
      </w:pPr>
    </w:p>
    <w:p w14:paraId="53AD46FA" w14:textId="77777777" w:rsidR="00DB2716" w:rsidRPr="00AC5FC0" w:rsidRDefault="001C50AC" w:rsidP="00DB2716">
      <w:pPr>
        <w:widowControl w:val="0"/>
        <w:autoSpaceDE w:val="0"/>
        <w:autoSpaceDN w:val="0"/>
        <w:adjustRightInd w:val="0"/>
        <w:spacing w:after="0" w:line="240" w:lineRule="auto"/>
        <w:jc w:val="both"/>
        <w:rPr>
          <w:rFonts w:eastAsia="Times New Roman"/>
          <w:b/>
          <w:i/>
          <w:iCs/>
          <w:lang w:val="en-US"/>
        </w:rPr>
      </w:pPr>
      <w:r w:rsidRPr="00AC5FC0">
        <w:rPr>
          <w:rFonts w:eastAsia="Times New Roman"/>
          <w:b/>
          <w:i/>
          <w:iCs/>
          <w:lang w:val="en-US"/>
        </w:rPr>
        <w:t>Overseas shareholders</w:t>
      </w:r>
    </w:p>
    <w:p w14:paraId="3988D79C" w14:textId="77777777" w:rsidR="00DB2716" w:rsidRPr="00AC5FC0" w:rsidRDefault="00DB2716" w:rsidP="00DB2716">
      <w:pPr>
        <w:widowControl w:val="0"/>
        <w:autoSpaceDE w:val="0"/>
        <w:autoSpaceDN w:val="0"/>
        <w:adjustRightInd w:val="0"/>
        <w:spacing w:after="0" w:line="240" w:lineRule="auto"/>
        <w:jc w:val="both"/>
        <w:rPr>
          <w:rFonts w:eastAsia="Times New Roman"/>
          <w:i/>
          <w:iCs/>
          <w:lang w:val="en-US"/>
        </w:rPr>
      </w:pPr>
    </w:p>
    <w:p w14:paraId="51C46000" w14:textId="77777777" w:rsidR="00DB2716" w:rsidRPr="00AC5FC0" w:rsidRDefault="001C50AC" w:rsidP="00DB2716">
      <w:pPr>
        <w:widowControl w:val="0"/>
        <w:autoSpaceDE w:val="0"/>
        <w:autoSpaceDN w:val="0"/>
        <w:adjustRightInd w:val="0"/>
        <w:spacing w:after="0" w:line="240" w:lineRule="auto"/>
        <w:jc w:val="both"/>
        <w:rPr>
          <w:rFonts w:eastAsia="Times New Roman"/>
          <w:i/>
          <w:iCs/>
          <w:lang w:val="en-US"/>
        </w:rPr>
      </w:pPr>
      <w:r w:rsidRPr="00AC5FC0">
        <w:rPr>
          <w:rFonts w:eastAsia="Times New Roman"/>
          <w:i/>
          <w:iCs/>
          <w:lang w:val="en-US"/>
        </w:rPr>
        <w:t xml:space="preserve">The release, </w:t>
      </w:r>
      <w:proofErr w:type="gramStart"/>
      <w:r w:rsidRPr="00AC5FC0">
        <w:rPr>
          <w:rFonts w:eastAsia="Times New Roman"/>
          <w:i/>
          <w:iCs/>
          <w:lang w:val="en-US"/>
        </w:rPr>
        <w:t>publication</w:t>
      </w:r>
      <w:proofErr w:type="gramEnd"/>
      <w:r w:rsidRPr="00AC5FC0">
        <w:rPr>
          <w:rFonts w:eastAsia="Times New Roman"/>
          <w:i/>
          <w:iCs/>
          <w:lang w:val="en-US"/>
        </w:rPr>
        <w:t xml:space="preserve"> or distribution of this </w:t>
      </w:r>
      <w:r w:rsidR="002A0C6F" w:rsidRPr="00AC5FC0">
        <w:rPr>
          <w:rFonts w:eastAsia="Times New Roman"/>
          <w:i/>
          <w:iCs/>
          <w:lang w:val="en-US"/>
        </w:rPr>
        <w:t>a</w:t>
      </w:r>
      <w:r w:rsidRPr="00AC5FC0">
        <w:rPr>
          <w:rFonts w:eastAsia="Times New Roman"/>
          <w:i/>
          <w:iCs/>
          <w:lang w:val="en-US"/>
        </w:rPr>
        <w:t xml:space="preserve">nnouncement in jurisdictions other than the United Kingdom may be restricted by law and therefore any persons who are subject to the laws of any jurisdiction other than the United Kingdom (including Restricted Jurisdictions) should inform themselves about, and observe, any applicable legal or regulatory requirements. In particular, the ability of persons who are not resident in the United Kingdom or who are subject to the laws of another jurisdiction to vote their ScS Shares in respect of the Scheme at the Court Meeting, or to execute and deliver Forms of Proxy appointing another to vote at the Court Meeting on their behalf, may be affected by the laws of the relevant jurisdictions in which they are located or to which they are subject. Any failure to comply with applicable legal or regulatory requirements of any jurisdiction may constitute a violation of securities laws in that jurisdiction. To the fullest extent permitted by law, the companies and persons involved in the Acquisition disclaim any responsibility or liability for the violation of such restrictions by any person. This </w:t>
      </w:r>
      <w:r w:rsidR="002A0C6F" w:rsidRPr="00AC5FC0">
        <w:rPr>
          <w:rFonts w:eastAsia="Times New Roman"/>
          <w:i/>
          <w:iCs/>
          <w:lang w:val="en-US"/>
        </w:rPr>
        <w:t>a</w:t>
      </w:r>
      <w:r w:rsidRPr="00AC5FC0">
        <w:rPr>
          <w:rFonts w:eastAsia="Times New Roman"/>
          <w:i/>
          <w:iCs/>
          <w:lang w:val="en-US"/>
        </w:rPr>
        <w:t xml:space="preserve">nnouncement has been prepared for the purpose of complying with English law and the Code and the information disclosed may not be the same as that which would have been disclosed if this </w:t>
      </w:r>
      <w:r w:rsidR="00565402" w:rsidRPr="00AC5FC0">
        <w:rPr>
          <w:rFonts w:eastAsia="Times New Roman"/>
          <w:i/>
          <w:iCs/>
          <w:lang w:val="en-US"/>
        </w:rPr>
        <w:t>a</w:t>
      </w:r>
      <w:r w:rsidRPr="00AC5FC0">
        <w:rPr>
          <w:rFonts w:eastAsia="Times New Roman"/>
          <w:i/>
          <w:iCs/>
          <w:lang w:val="en-US"/>
        </w:rPr>
        <w:t>nnouncement had been prepared in accordance with the laws of jurisdictions outside England.</w:t>
      </w:r>
    </w:p>
    <w:p w14:paraId="75A3C227" w14:textId="77777777" w:rsidR="00DB2716" w:rsidRPr="00AC5FC0" w:rsidRDefault="00DB2716" w:rsidP="00DB2716">
      <w:pPr>
        <w:widowControl w:val="0"/>
        <w:autoSpaceDE w:val="0"/>
        <w:autoSpaceDN w:val="0"/>
        <w:adjustRightInd w:val="0"/>
        <w:spacing w:after="0" w:line="240" w:lineRule="auto"/>
        <w:jc w:val="both"/>
        <w:rPr>
          <w:rFonts w:eastAsia="Times New Roman"/>
          <w:i/>
          <w:iCs/>
          <w:lang w:val="en-US"/>
        </w:rPr>
      </w:pPr>
    </w:p>
    <w:p w14:paraId="265C506D" w14:textId="77777777" w:rsidR="00DB2716" w:rsidRPr="00AC5FC0" w:rsidRDefault="001C50AC" w:rsidP="00DB2716">
      <w:pPr>
        <w:widowControl w:val="0"/>
        <w:autoSpaceDE w:val="0"/>
        <w:autoSpaceDN w:val="0"/>
        <w:adjustRightInd w:val="0"/>
        <w:spacing w:after="0" w:line="240" w:lineRule="auto"/>
        <w:jc w:val="both"/>
        <w:rPr>
          <w:rFonts w:eastAsia="Times New Roman"/>
          <w:i/>
          <w:iCs/>
          <w:lang w:val="en-US"/>
        </w:rPr>
      </w:pPr>
      <w:r w:rsidRPr="00AC5FC0">
        <w:rPr>
          <w:rFonts w:eastAsia="Times New Roman"/>
          <w:i/>
          <w:iCs/>
          <w:lang w:val="en-US"/>
        </w:rPr>
        <w:t xml:space="preserve">The Acquisition will not be made, directly or indirectly, in or into or by use of the mails or any other means or instrumentality (including, without limitation, telephonic or electronic) of interstate or foreign commerce of, or any facility of a national, state or other securities exchange of, a Restricted Jurisdiction, and the Acquisition will not be capable of acceptance by any such use, means, instrumentality or facility or from within a Restricted Jurisdiction. Copies of this </w:t>
      </w:r>
      <w:r w:rsidR="002A0C6F" w:rsidRPr="00AC5FC0">
        <w:rPr>
          <w:rFonts w:eastAsia="Times New Roman"/>
          <w:i/>
          <w:iCs/>
          <w:lang w:val="en-US"/>
        </w:rPr>
        <w:t>a</w:t>
      </w:r>
      <w:r w:rsidRPr="00AC5FC0">
        <w:rPr>
          <w:rFonts w:eastAsia="Times New Roman"/>
          <w:i/>
          <w:iCs/>
          <w:lang w:val="en-US"/>
        </w:rPr>
        <w:t>nnouncement and any formal documentation relating to the Acquisition are not being, and must not be, directly or indirectly, mailed or otherwise forwarded, distributed or sent in or into or from any Restricted Jurisdiction or any jurisdiction where to do so would constitute a violation of the laws of such jurisdiction and persons receiving such documents (including custodians, nominees and trustees) must not mail or otherwise forward, distribute or send them in or into or from any Restricted Jurisdiction. Doing so may render invalid any related purported vote in respect of acceptance of the Acquisition.</w:t>
      </w:r>
    </w:p>
    <w:p w14:paraId="3E861B9F" w14:textId="77777777" w:rsidR="00DB2716" w:rsidRPr="00AC5FC0" w:rsidRDefault="00DB2716" w:rsidP="00DB2716">
      <w:pPr>
        <w:widowControl w:val="0"/>
        <w:autoSpaceDE w:val="0"/>
        <w:autoSpaceDN w:val="0"/>
        <w:adjustRightInd w:val="0"/>
        <w:spacing w:after="0" w:line="240" w:lineRule="auto"/>
        <w:jc w:val="both"/>
        <w:rPr>
          <w:rFonts w:eastAsia="Times New Roman"/>
          <w:i/>
          <w:iCs/>
          <w:lang w:val="en-US"/>
        </w:rPr>
      </w:pPr>
    </w:p>
    <w:p w14:paraId="39DE7B2E" w14:textId="77777777" w:rsidR="00DB2716" w:rsidRPr="00AC5FC0" w:rsidRDefault="001C50AC" w:rsidP="00DB2716">
      <w:pPr>
        <w:widowControl w:val="0"/>
        <w:autoSpaceDE w:val="0"/>
        <w:autoSpaceDN w:val="0"/>
        <w:adjustRightInd w:val="0"/>
        <w:spacing w:after="0" w:line="240" w:lineRule="auto"/>
        <w:jc w:val="both"/>
        <w:rPr>
          <w:rFonts w:eastAsia="Times New Roman"/>
          <w:i/>
          <w:iCs/>
          <w:lang w:val="en-US"/>
        </w:rPr>
      </w:pPr>
      <w:r w:rsidRPr="00AC5FC0">
        <w:rPr>
          <w:rFonts w:eastAsia="Times New Roman"/>
          <w:i/>
          <w:iCs/>
          <w:lang w:val="en-US"/>
        </w:rPr>
        <w:t>If the Acquisition is implemented by way of a</w:t>
      </w:r>
      <w:r w:rsidR="002A0C6F" w:rsidRPr="00AC5FC0">
        <w:rPr>
          <w:rFonts w:eastAsia="Times New Roman"/>
          <w:i/>
          <w:iCs/>
          <w:lang w:val="en-US"/>
        </w:rPr>
        <w:t xml:space="preserve"> Takeover </w:t>
      </w:r>
      <w:r w:rsidRPr="00AC5FC0">
        <w:rPr>
          <w:rFonts w:eastAsia="Times New Roman"/>
          <w:i/>
          <w:iCs/>
          <w:lang w:val="en-US"/>
        </w:rPr>
        <w:t xml:space="preserve">Offer (unless otherwise permitted by applicable law and regulation), the </w:t>
      </w:r>
      <w:r w:rsidR="002A0C6F" w:rsidRPr="00AC5FC0">
        <w:rPr>
          <w:rFonts w:eastAsia="Times New Roman"/>
          <w:i/>
          <w:iCs/>
          <w:lang w:val="en-US"/>
        </w:rPr>
        <w:t xml:space="preserve">Takeover </w:t>
      </w:r>
      <w:r w:rsidRPr="00AC5FC0">
        <w:rPr>
          <w:rFonts w:eastAsia="Times New Roman"/>
          <w:i/>
          <w:iCs/>
          <w:lang w:val="en-US"/>
        </w:rPr>
        <w:t xml:space="preserve">Offer may not be made, directly or indirectly, in or into or by use of the mails or any other means or instrumentality (including, without limitation, facsimile, e-mail or other electronic transmission, telex or telephone) of interstate or foreign commerce of, or any facility of a national, state or other securities exchange of any Restricted Jurisdiction and the </w:t>
      </w:r>
      <w:r w:rsidR="002A0C6F" w:rsidRPr="00AC5FC0">
        <w:rPr>
          <w:rFonts w:eastAsia="Times New Roman"/>
          <w:i/>
          <w:iCs/>
          <w:lang w:val="en-US"/>
        </w:rPr>
        <w:t xml:space="preserve">Takeover </w:t>
      </w:r>
      <w:r w:rsidRPr="00AC5FC0">
        <w:rPr>
          <w:rFonts w:eastAsia="Times New Roman"/>
          <w:i/>
          <w:iCs/>
          <w:lang w:val="en-US"/>
        </w:rPr>
        <w:t xml:space="preserve">Offer will </w:t>
      </w:r>
      <w:r w:rsidRPr="00AC5FC0">
        <w:rPr>
          <w:rFonts w:eastAsia="Times New Roman"/>
          <w:i/>
          <w:iCs/>
          <w:lang w:val="en-US"/>
        </w:rPr>
        <w:lastRenderedPageBreak/>
        <w:t>not be capable of acceptance by any such use, means, instrumentality or facilities or from within any Restricted Jurisdiction.</w:t>
      </w:r>
    </w:p>
    <w:p w14:paraId="27285414" w14:textId="77777777" w:rsidR="00DB2716" w:rsidRPr="00AC5FC0" w:rsidRDefault="00DB2716" w:rsidP="00DB2716">
      <w:pPr>
        <w:widowControl w:val="0"/>
        <w:autoSpaceDE w:val="0"/>
        <w:autoSpaceDN w:val="0"/>
        <w:adjustRightInd w:val="0"/>
        <w:spacing w:after="0" w:line="240" w:lineRule="auto"/>
        <w:jc w:val="both"/>
        <w:rPr>
          <w:rFonts w:eastAsia="Times New Roman"/>
          <w:i/>
          <w:iCs/>
          <w:lang w:val="en-US"/>
        </w:rPr>
      </w:pPr>
    </w:p>
    <w:p w14:paraId="512E37DD" w14:textId="77777777" w:rsidR="00DB2716" w:rsidRPr="00AC5FC0" w:rsidRDefault="001C50AC" w:rsidP="00DB2716">
      <w:pPr>
        <w:widowControl w:val="0"/>
        <w:autoSpaceDE w:val="0"/>
        <w:autoSpaceDN w:val="0"/>
        <w:adjustRightInd w:val="0"/>
        <w:spacing w:after="0" w:line="240" w:lineRule="auto"/>
        <w:jc w:val="both"/>
        <w:rPr>
          <w:rFonts w:eastAsia="Times New Roman"/>
          <w:i/>
          <w:iCs/>
          <w:lang w:val="en-US"/>
        </w:rPr>
      </w:pPr>
      <w:r w:rsidRPr="00AC5FC0">
        <w:rPr>
          <w:rFonts w:eastAsia="Times New Roman"/>
          <w:i/>
          <w:iCs/>
          <w:lang w:val="en-US"/>
        </w:rPr>
        <w:t xml:space="preserve">Further details in relation to ScS Shareholders in overseas jurisdictions </w:t>
      </w:r>
      <w:r w:rsidR="00470826">
        <w:rPr>
          <w:rFonts w:eastAsia="Times New Roman"/>
          <w:i/>
          <w:iCs/>
          <w:lang w:val="en-US"/>
        </w:rPr>
        <w:t>are</w:t>
      </w:r>
      <w:r w:rsidRPr="00AC5FC0">
        <w:rPr>
          <w:rFonts w:eastAsia="Times New Roman"/>
          <w:i/>
          <w:iCs/>
          <w:lang w:val="en-US"/>
        </w:rPr>
        <w:t xml:space="preserve"> contained in the Scheme Document.</w:t>
      </w:r>
    </w:p>
    <w:p w14:paraId="752206C1" w14:textId="77777777" w:rsidR="00DB2716" w:rsidRPr="00AC5FC0" w:rsidRDefault="00DB2716" w:rsidP="00DB2716">
      <w:pPr>
        <w:widowControl w:val="0"/>
        <w:autoSpaceDE w:val="0"/>
        <w:autoSpaceDN w:val="0"/>
        <w:adjustRightInd w:val="0"/>
        <w:spacing w:after="0" w:line="240" w:lineRule="auto"/>
        <w:jc w:val="both"/>
        <w:rPr>
          <w:rFonts w:eastAsia="Times New Roman"/>
          <w:b/>
          <w:i/>
          <w:iCs/>
          <w:lang w:val="en-US"/>
        </w:rPr>
      </w:pPr>
    </w:p>
    <w:p w14:paraId="356A026A" w14:textId="77777777" w:rsidR="00DB2716" w:rsidRPr="00AC5FC0" w:rsidRDefault="001C50AC" w:rsidP="00DB2716">
      <w:pPr>
        <w:widowControl w:val="0"/>
        <w:autoSpaceDE w:val="0"/>
        <w:autoSpaceDN w:val="0"/>
        <w:adjustRightInd w:val="0"/>
        <w:spacing w:after="0" w:line="240" w:lineRule="auto"/>
        <w:jc w:val="both"/>
        <w:rPr>
          <w:rFonts w:eastAsia="Times New Roman"/>
          <w:b/>
          <w:i/>
          <w:iCs/>
          <w:lang w:val="en-US"/>
        </w:rPr>
      </w:pPr>
      <w:r w:rsidRPr="00AC5FC0">
        <w:rPr>
          <w:rFonts w:eastAsia="Times New Roman"/>
          <w:b/>
          <w:i/>
          <w:iCs/>
          <w:lang w:val="en-US"/>
        </w:rPr>
        <w:t>Additional information for US investors in ScS</w:t>
      </w:r>
    </w:p>
    <w:p w14:paraId="3EEB705A" w14:textId="77777777" w:rsidR="00DB2716" w:rsidRPr="00AC5FC0" w:rsidRDefault="00DB2716" w:rsidP="00DB2716">
      <w:pPr>
        <w:widowControl w:val="0"/>
        <w:autoSpaceDE w:val="0"/>
        <w:autoSpaceDN w:val="0"/>
        <w:adjustRightInd w:val="0"/>
        <w:spacing w:after="0" w:line="240" w:lineRule="auto"/>
        <w:jc w:val="both"/>
        <w:rPr>
          <w:rFonts w:eastAsia="Times New Roman"/>
          <w:i/>
          <w:iCs/>
          <w:lang w:val="en-US"/>
        </w:rPr>
      </w:pPr>
    </w:p>
    <w:p w14:paraId="69421059" w14:textId="77777777" w:rsidR="00DB2716" w:rsidRPr="00AC5FC0" w:rsidRDefault="001C50AC" w:rsidP="00DB2716">
      <w:pPr>
        <w:pStyle w:val="BodyText"/>
        <w:rPr>
          <w:rFonts w:eastAsia="Times New Roman"/>
          <w:i/>
          <w:iCs/>
          <w:lang w:val="en-US" w:eastAsia="en-US"/>
        </w:rPr>
      </w:pPr>
      <w:r w:rsidRPr="00AC5FC0">
        <w:rPr>
          <w:rFonts w:eastAsia="Times New Roman"/>
          <w:i/>
          <w:iCs/>
          <w:lang w:val="en-US" w:eastAsia="en-US"/>
        </w:rPr>
        <w:t>The Acquisition relates to the shares of an English company and is being made by way of a scheme of arrangement provided for under Part 26 of the Companies Act. The Acquisition, where implemented by way of a scheme of arrangement, is not subject to the tender offer rules or the proxy solicitation rules under the US Exchange Act. Accordingly, the Acquisition and the Scheme will be subject to the disclosure requirements and practices applicable to a scheme of arrangement involving a target company incorporated in the UK and listed on the London Stock Exchange, which differ from the disclosure requirements of US tender offer and proxy solicitation rules. If, in the future, Poltronesofà exercises its right to implement the Acquisition by way of a</w:t>
      </w:r>
      <w:r w:rsidR="002A0C6F" w:rsidRPr="00AC5FC0">
        <w:rPr>
          <w:rFonts w:eastAsia="Times New Roman"/>
          <w:i/>
          <w:iCs/>
          <w:lang w:val="en-US" w:eastAsia="en-US"/>
        </w:rPr>
        <w:t xml:space="preserve"> Takeover </w:t>
      </w:r>
      <w:r w:rsidRPr="00AC5FC0">
        <w:rPr>
          <w:rFonts w:eastAsia="Times New Roman"/>
          <w:i/>
          <w:iCs/>
          <w:lang w:val="en-US" w:eastAsia="en-US"/>
        </w:rPr>
        <w:t xml:space="preserve">Offer and determines to extend the </w:t>
      </w:r>
      <w:r w:rsidR="000418C9" w:rsidRPr="00AC5FC0">
        <w:rPr>
          <w:rFonts w:eastAsia="Times New Roman"/>
          <w:i/>
          <w:iCs/>
          <w:lang w:val="en-US" w:eastAsia="en-US"/>
        </w:rPr>
        <w:t xml:space="preserve">Takeover </w:t>
      </w:r>
      <w:r w:rsidRPr="00AC5FC0">
        <w:rPr>
          <w:rFonts w:eastAsia="Times New Roman"/>
          <w:i/>
          <w:iCs/>
          <w:lang w:val="en-US" w:eastAsia="en-US"/>
        </w:rPr>
        <w:t>Offer into the United States, the Acquisition will be made in compliance with applicable US laws and regulations</w:t>
      </w:r>
      <w:r w:rsidR="000418C9" w:rsidRPr="00AC5FC0">
        <w:rPr>
          <w:rFonts w:eastAsia="Times New Roman"/>
          <w:i/>
          <w:iCs/>
          <w:lang w:val="en-US" w:eastAsia="en-US"/>
        </w:rPr>
        <w:t>.</w:t>
      </w:r>
    </w:p>
    <w:p w14:paraId="267A1680" w14:textId="779B7394" w:rsidR="000418C9" w:rsidRPr="00AC5FC0" w:rsidRDefault="001C50AC" w:rsidP="00DB2716">
      <w:pPr>
        <w:pStyle w:val="BodyText"/>
        <w:rPr>
          <w:rFonts w:eastAsia="Times New Roman"/>
          <w:b/>
          <w:bCs/>
          <w:i/>
          <w:iCs/>
          <w:lang w:val="en-US" w:eastAsia="en-US"/>
        </w:rPr>
      </w:pPr>
      <w:r w:rsidRPr="00AC5FC0">
        <w:rPr>
          <w:rFonts w:eastAsia="Times New Roman"/>
          <w:b/>
          <w:bCs/>
          <w:i/>
          <w:iCs/>
          <w:lang w:val="en-US" w:eastAsia="en-US"/>
        </w:rPr>
        <w:t>Forward-</w:t>
      </w:r>
      <w:r w:rsidR="00A05FB1">
        <w:rPr>
          <w:rFonts w:eastAsia="Times New Roman"/>
          <w:b/>
          <w:bCs/>
          <w:i/>
          <w:iCs/>
          <w:lang w:val="en-US" w:eastAsia="en-US"/>
        </w:rPr>
        <w:t>l</w:t>
      </w:r>
      <w:r w:rsidRPr="00AC5FC0">
        <w:rPr>
          <w:rFonts w:eastAsia="Times New Roman"/>
          <w:b/>
          <w:bCs/>
          <w:i/>
          <w:iCs/>
          <w:lang w:val="en-US" w:eastAsia="en-US"/>
        </w:rPr>
        <w:t xml:space="preserve">ooking </w:t>
      </w:r>
      <w:r w:rsidR="00A05FB1">
        <w:rPr>
          <w:rFonts w:eastAsia="Times New Roman"/>
          <w:b/>
          <w:bCs/>
          <w:i/>
          <w:iCs/>
          <w:lang w:val="en-US" w:eastAsia="en-US"/>
        </w:rPr>
        <w:t>s</w:t>
      </w:r>
      <w:r w:rsidRPr="00AC5FC0">
        <w:rPr>
          <w:rFonts w:eastAsia="Times New Roman"/>
          <w:b/>
          <w:bCs/>
          <w:i/>
          <w:iCs/>
          <w:lang w:val="en-US" w:eastAsia="en-US"/>
        </w:rPr>
        <w:t>tatements</w:t>
      </w:r>
    </w:p>
    <w:p w14:paraId="34BE031E" w14:textId="21ADF7D1" w:rsidR="000418C9" w:rsidRPr="00AC5FC0" w:rsidRDefault="001C50AC" w:rsidP="000418C9">
      <w:pPr>
        <w:pStyle w:val="BodyText"/>
        <w:rPr>
          <w:i/>
          <w:iCs/>
          <w:lang w:val="en-US"/>
        </w:rPr>
      </w:pPr>
      <w:r w:rsidRPr="00AC5FC0">
        <w:rPr>
          <w:i/>
          <w:iCs/>
          <w:lang w:val="en-US"/>
        </w:rPr>
        <w:t>This announcement contains certain forward-looking statements with respect to the financial condition, results of operations and business of ScS and certain plans and objectives of ScS</w:t>
      </w:r>
      <w:r w:rsidR="00A05FB1">
        <w:rPr>
          <w:i/>
          <w:iCs/>
          <w:lang w:val="en-US"/>
        </w:rPr>
        <w:t xml:space="preserve">, BidCo and </w:t>
      </w:r>
      <w:r w:rsidR="00A05FB1" w:rsidRPr="00A05FB1">
        <w:rPr>
          <w:i/>
          <w:iCs/>
          <w:lang w:val="en-US"/>
        </w:rPr>
        <w:t>Poltronesofà</w:t>
      </w:r>
      <w:r w:rsidRPr="00AC5FC0">
        <w:rPr>
          <w:i/>
          <w:iCs/>
          <w:lang w:val="en-US"/>
        </w:rPr>
        <w:t>.</w:t>
      </w:r>
    </w:p>
    <w:p w14:paraId="788A6ED6" w14:textId="77777777" w:rsidR="000418C9" w:rsidRPr="00AC5FC0" w:rsidRDefault="001C50AC" w:rsidP="000418C9">
      <w:pPr>
        <w:pStyle w:val="BodyText"/>
        <w:rPr>
          <w:i/>
          <w:iCs/>
          <w:lang w:val="en-US"/>
        </w:rPr>
      </w:pPr>
      <w:r w:rsidRPr="00AC5FC0">
        <w:rPr>
          <w:i/>
          <w:iCs/>
          <w:lang w:val="en-US"/>
        </w:rPr>
        <w:t xml:space="preserve">These forward-looking statements can be identified by the fact that they do not relate only to historical or current facts. These statements are based on assumptions and assessments made by ScS, BidCo and Poltronesofà </w:t>
      </w:r>
      <w:proofErr w:type="gramStart"/>
      <w:r w:rsidRPr="00AC5FC0">
        <w:rPr>
          <w:i/>
          <w:iCs/>
          <w:lang w:val="en-US"/>
        </w:rPr>
        <w:t>in light of</w:t>
      </w:r>
      <w:proofErr w:type="gramEnd"/>
      <w:r w:rsidRPr="00AC5FC0">
        <w:rPr>
          <w:i/>
          <w:iCs/>
          <w:lang w:val="en-US"/>
        </w:rPr>
        <w:t xml:space="preserve"> their experience and their perception of historical trends, current conditions, future developments and other factors they believe appropriate, and therefore are subject to risks and uncertainties which could cause actual results to differ materially from those expressed or implied by those forward-looking statements. </w:t>
      </w:r>
    </w:p>
    <w:p w14:paraId="71CAF8E2" w14:textId="77777777" w:rsidR="000418C9" w:rsidRPr="00AC5FC0" w:rsidRDefault="001C50AC" w:rsidP="000418C9">
      <w:pPr>
        <w:pStyle w:val="BodyText"/>
        <w:rPr>
          <w:i/>
          <w:iCs/>
          <w:lang w:val="en-US"/>
        </w:rPr>
      </w:pPr>
      <w:r w:rsidRPr="00AC5FC0">
        <w:rPr>
          <w:i/>
          <w:iCs/>
          <w:lang w:val="en-US"/>
        </w:rPr>
        <w:t>Forward-looking statements often use words such as “anticipate”, “target”, “expect”, “estimate”, “intend”, “plan”, “goal”, “believe”, “hope”, “aim”, “will”, “continue”, “may”, “would”, “could”, “should” or other words of similar meaning or the negative thereof. Forward-looking statements include statements relating to the following: (</w:t>
      </w:r>
      <w:proofErr w:type="spellStart"/>
      <w:r w:rsidRPr="00AC5FC0">
        <w:rPr>
          <w:i/>
          <w:iCs/>
          <w:lang w:val="en-US"/>
        </w:rPr>
        <w:t>i</w:t>
      </w:r>
      <w:proofErr w:type="spellEnd"/>
      <w:r w:rsidRPr="00AC5FC0">
        <w:rPr>
          <w:i/>
          <w:iCs/>
          <w:lang w:val="en-US"/>
        </w:rPr>
        <w:t>) future capital expenditures, expenses, revenues, economic performance, synergies, financial conditions, market growth, dividend policy, losses and future prospects; (ii) business and management strategies and the expansion and growth of the operations of the</w:t>
      </w:r>
      <w:r w:rsidR="00A05FB1">
        <w:rPr>
          <w:i/>
          <w:iCs/>
          <w:lang w:val="en-US"/>
        </w:rPr>
        <w:t xml:space="preserve"> Wider</w:t>
      </w:r>
      <w:r w:rsidRPr="00AC5FC0">
        <w:rPr>
          <w:i/>
          <w:iCs/>
          <w:lang w:val="en-US"/>
        </w:rPr>
        <w:t xml:space="preserve"> Poltronesofà Group or the </w:t>
      </w:r>
      <w:r w:rsidR="00A05FB1">
        <w:rPr>
          <w:i/>
          <w:iCs/>
          <w:lang w:val="en-US"/>
        </w:rPr>
        <w:t xml:space="preserve">Wider </w:t>
      </w:r>
      <w:r w:rsidRPr="00AC5FC0">
        <w:rPr>
          <w:i/>
          <w:iCs/>
          <w:lang w:val="en-US"/>
        </w:rPr>
        <w:t xml:space="preserve">ScS Group; and (iii) the effects of government regulation on the business of the </w:t>
      </w:r>
      <w:r w:rsidR="00A05FB1">
        <w:rPr>
          <w:i/>
          <w:iCs/>
          <w:lang w:val="en-US"/>
        </w:rPr>
        <w:t xml:space="preserve">Wider </w:t>
      </w:r>
      <w:r w:rsidRPr="00AC5FC0">
        <w:rPr>
          <w:i/>
          <w:iCs/>
          <w:lang w:val="en-US"/>
        </w:rPr>
        <w:t xml:space="preserve">Poltronesofà Group or the </w:t>
      </w:r>
      <w:r w:rsidR="00A05FB1">
        <w:rPr>
          <w:i/>
          <w:iCs/>
          <w:lang w:val="en-US"/>
        </w:rPr>
        <w:t xml:space="preserve">Wider </w:t>
      </w:r>
      <w:r w:rsidRPr="00AC5FC0">
        <w:rPr>
          <w:i/>
          <w:iCs/>
          <w:lang w:val="en-US"/>
        </w:rPr>
        <w:t>ScS Group. There are many factors which could cause actual results to differ materially from those expressed or implied in forward-looking statements. Among such factors are changes in the global, political, economic, business, competitive or market landscape and regulatory forces, future exchange and interest rates, changes in tax rates and future business combinations or disposals.</w:t>
      </w:r>
    </w:p>
    <w:p w14:paraId="12BADABC" w14:textId="77777777" w:rsidR="000418C9" w:rsidRPr="00AC5FC0" w:rsidRDefault="001C50AC" w:rsidP="000418C9">
      <w:pPr>
        <w:pStyle w:val="BodyText"/>
        <w:rPr>
          <w:i/>
          <w:iCs/>
          <w:lang w:val="en-US"/>
        </w:rPr>
      </w:pPr>
      <w:r w:rsidRPr="00AC5FC0">
        <w:rPr>
          <w:i/>
          <w:iCs/>
          <w:lang w:val="en-US"/>
        </w:rPr>
        <w:t xml:space="preserve">These forward-looking statements are based on numerous assumptions regarding the present and future business strategies of such </w:t>
      </w:r>
      <w:proofErr w:type="gramStart"/>
      <w:r w:rsidRPr="00AC5FC0">
        <w:rPr>
          <w:i/>
          <w:iCs/>
          <w:lang w:val="en-US"/>
        </w:rPr>
        <w:t>persons</w:t>
      </w:r>
      <w:proofErr w:type="gramEnd"/>
      <w:r w:rsidRPr="00AC5FC0">
        <w:rPr>
          <w:i/>
          <w:iCs/>
          <w:lang w:val="en-US"/>
        </w:rPr>
        <w:t xml:space="preserve"> and the environment in which each will operate in the future. By their nature, these forward-looking statements involve known and unknown risks and uncertainties because they relate to events and depend on circumstances that will occur in the future. The factors described in the context of such forward-looking statements in this </w:t>
      </w:r>
      <w:r w:rsidR="00565402" w:rsidRPr="00AC5FC0">
        <w:rPr>
          <w:i/>
          <w:iCs/>
          <w:lang w:val="en-US"/>
        </w:rPr>
        <w:t>a</w:t>
      </w:r>
      <w:r w:rsidRPr="00AC5FC0">
        <w:rPr>
          <w:i/>
          <w:iCs/>
          <w:lang w:val="en-US"/>
        </w:rPr>
        <w:t xml:space="preserve">nnouncement may cause the actual results, </w:t>
      </w:r>
      <w:proofErr w:type="gramStart"/>
      <w:r w:rsidRPr="00AC5FC0">
        <w:rPr>
          <w:i/>
          <w:iCs/>
          <w:lang w:val="en-US"/>
        </w:rPr>
        <w:t>performance</w:t>
      </w:r>
      <w:proofErr w:type="gramEnd"/>
      <w:r w:rsidRPr="00AC5FC0">
        <w:rPr>
          <w:i/>
          <w:iCs/>
          <w:lang w:val="en-US"/>
        </w:rPr>
        <w:t xml:space="preserve"> or achievements of any such person, or industry results and developments, to be materially different from any results, performance or achievements expressed or implied by such forward-looking statements. No assurance can be given that such expectations will prove to have been </w:t>
      </w:r>
      <w:r w:rsidRPr="00AC5FC0">
        <w:rPr>
          <w:i/>
          <w:iCs/>
          <w:lang w:val="en-US"/>
        </w:rPr>
        <w:lastRenderedPageBreak/>
        <w:t xml:space="preserve">correct and persons reading this </w:t>
      </w:r>
      <w:r w:rsidR="00565402" w:rsidRPr="00AC5FC0">
        <w:rPr>
          <w:i/>
          <w:iCs/>
          <w:lang w:val="en-US"/>
        </w:rPr>
        <w:t>a</w:t>
      </w:r>
      <w:r w:rsidRPr="00AC5FC0">
        <w:rPr>
          <w:i/>
          <w:iCs/>
          <w:lang w:val="en-US"/>
        </w:rPr>
        <w:t xml:space="preserve">nnouncement are therefore cautioned not to place undue reliance on these forward-looking statements which speak only as at the date of this </w:t>
      </w:r>
      <w:r w:rsidR="00565402" w:rsidRPr="00AC5FC0">
        <w:rPr>
          <w:i/>
          <w:iCs/>
          <w:lang w:val="en-US"/>
        </w:rPr>
        <w:t>a</w:t>
      </w:r>
      <w:r w:rsidRPr="00AC5FC0">
        <w:rPr>
          <w:i/>
          <w:iCs/>
          <w:lang w:val="en-US"/>
        </w:rPr>
        <w:t xml:space="preserve">nnouncement. All subsequent oral or written forward-looking statements attributable to Poltronesofà, BidCo or ScS or any persons acting on their behalf are expressly qualified in their entirety by the cautionary statement above. Neither Poltronesofà, BidCo nor ScS undertakes any obligation to update publicly or revise forward-looking statements, whether </w:t>
      </w:r>
      <w:proofErr w:type="gramStart"/>
      <w:r w:rsidRPr="00AC5FC0">
        <w:rPr>
          <w:i/>
          <w:iCs/>
          <w:lang w:val="en-US"/>
        </w:rPr>
        <w:t>as a result of</w:t>
      </w:r>
      <w:proofErr w:type="gramEnd"/>
      <w:r w:rsidRPr="00AC5FC0">
        <w:rPr>
          <w:i/>
          <w:iCs/>
          <w:lang w:val="en-US"/>
        </w:rPr>
        <w:t xml:space="preserve"> new information, future events or otherwise, except to the extent legally required.</w:t>
      </w:r>
    </w:p>
    <w:p w14:paraId="25660FAD" w14:textId="77777777" w:rsidR="000418C9" w:rsidRPr="00AC5FC0" w:rsidRDefault="001C50AC" w:rsidP="000418C9">
      <w:pPr>
        <w:pStyle w:val="BodyText"/>
        <w:rPr>
          <w:b/>
          <w:i/>
          <w:iCs/>
          <w:lang w:val="en-US"/>
        </w:rPr>
      </w:pPr>
      <w:r w:rsidRPr="00AC5FC0">
        <w:rPr>
          <w:b/>
          <w:i/>
          <w:iCs/>
          <w:lang w:val="en-US"/>
        </w:rPr>
        <w:t xml:space="preserve">No profit forecasts, estimates or quantified financial benefits </w:t>
      </w:r>
      <w:proofErr w:type="gramStart"/>
      <w:r w:rsidRPr="00AC5FC0">
        <w:rPr>
          <w:b/>
          <w:i/>
          <w:iCs/>
          <w:lang w:val="en-US"/>
        </w:rPr>
        <w:t>statements</w:t>
      </w:r>
      <w:proofErr w:type="gramEnd"/>
    </w:p>
    <w:p w14:paraId="57742E39" w14:textId="77777777" w:rsidR="000418C9" w:rsidRPr="00AC5FC0" w:rsidRDefault="001C50AC" w:rsidP="000418C9">
      <w:pPr>
        <w:pStyle w:val="BodyText"/>
        <w:rPr>
          <w:i/>
          <w:iCs/>
          <w:lang w:val="en-US"/>
        </w:rPr>
      </w:pPr>
      <w:r w:rsidRPr="00AC5FC0">
        <w:rPr>
          <w:i/>
          <w:iCs/>
          <w:lang w:val="en-US"/>
        </w:rPr>
        <w:t>No statement in this announcement is intended as a profit forecast or estimate for any period or a quantified financial benefits statement and no statement in this announcement should be interpreted to mean that earnings or earnings per ordinary share, for Poltronesofà</w:t>
      </w:r>
      <w:r w:rsidR="00A05FB1">
        <w:rPr>
          <w:i/>
          <w:iCs/>
          <w:lang w:val="en-US"/>
        </w:rPr>
        <w:t>, BidCo</w:t>
      </w:r>
      <w:r w:rsidRPr="00AC5FC0">
        <w:rPr>
          <w:i/>
          <w:iCs/>
          <w:lang w:val="en-US"/>
        </w:rPr>
        <w:t xml:space="preserve"> or ScS respectively, for the current or future financial years would necessarily match or exceed the historical published earnings or earnings per ordinary share for Poltronesofà</w:t>
      </w:r>
      <w:r w:rsidR="00A05FB1">
        <w:rPr>
          <w:i/>
          <w:iCs/>
          <w:lang w:val="en-US"/>
        </w:rPr>
        <w:t>, BidCo</w:t>
      </w:r>
      <w:r w:rsidRPr="00AC5FC0">
        <w:rPr>
          <w:i/>
          <w:iCs/>
          <w:lang w:val="en-US"/>
        </w:rPr>
        <w:t xml:space="preserve"> or ScS, respectively.</w:t>
      </w:r>
    </w:p>
    <w:p w14:paraId="1F1E1A66" w14:textId="77777777" w:rsidR="000418C9" w:rsidRPr="00AC5FC0" w:rsidRDefault="001C50AC" w:rsidP="000418C9">
      <w:pPr>
        <w:pStyle w:val="BodyText"/>
        <w:rPr>
          <w:b/>
          <w:i/>
          <w:iCs/>
          <w:lang w:val="en-US"/>
        </w:rPr>
      </w:pPr>
      <w:r w:rsidRPr="00AC5FC0">
        <w:rPr>
          <w:b/>
          <w:i/>
          <w:iCs/>
          <w:lang w:val="en-US"/>
        </w:rPr>
        <w:t>Publication on website</w:t>
      </w:r>
    </w:p>
    <w:p w14:paraId="60E77ECA" w14:textId="77777777" w:rsidR="000418C9" w:rsidRPr="00AC5FC0" w:rsidRDefault="001C50AC" w:rsidP="000418C9">
      <w:pPr>
        <w:pStyle w:val="BodyText"/>
        <w:rPr>
          <w:i/>
          <w:iCs/>
          <w:lang w:val="en-US"/>
        </w:rPr>
      </w:pPr>
      <w:r w:rsidRPr="00AC5FC0">
        <w:rPr>
          <w:i/>
          <w:iCs/>
          <w:lang w:val="en-US"/>
        </w:rPr>
        <w:t xml:space="preserve">A copy of this announcement and the documents required to be published pursuant to Rule 26.1 and Rule 26.2 of the Code will be made available (subject to certain restrictions relating to persons resident in Restricted Jurisdictions), free of charge, at www.poltronesofa-offer.com and at </w:t>
      </w:r>
      <w:bookmarkStart w:id="3" w:name="_Hlk152585238"/>
      <w:r w:rsidRPr="00AC5FC0">
        <w:rPr>
          <w:i/>
          <w:iCs/>
          <w:lang w:val="en-US"/>
        </w:rPr>
        <w:t xml:space="preserve">www.scsplc.co.uk/investors </w:t>
      </w:r>
      <w:bookmarkEnd w:id="3"/>
      <w:r w:rsidRPr="00AC5FC0">
        <w:rPr>
          <w:i/>
          <w:iCs/>
          <w:lang w:val="en-US"/>
        </w:rPr>
        <w:t>and by no later than 12 noon on the Business Day following the date of this announcement.</w:t>
      </w:r>
    </w:p>
    <w:p w14:paraId="2BF7ED04" w14:textId="77777777" w:rsidR="000418C9" w:rsidRPr="00AC5FC0" w:rsidRDefault="001C50AC" w:rsidP="000418C9">
      <w:pPr>
        <w:pStyle w:val="BodyText"/>
        <w:rPr>
          <w:i/>
          <w:iCs/>
          <w:lang w:val="en-US"/>
        </w:rPr>
      </w:pPr>
      <w:r w:rsidRPr="00AC5FC0">
        <w:rPr>
          <w:i/>
          <w:iCs/>
          <w:lang w:val="en-US"/>
        </w:rPr>
        <w:t>Neither the contents of these websites nor the content of any other website accessible from hyperlinks on such websites is incorporated into, or forms part of, this announcement.</w:t>
      </w:r>
    </w:p>
    <w:p w14:paraId="614C7FED" w14:textId="77777777" w:rsidR="000418C9" w:rsidRPr="00AC5FC0" w:rsidRDefault="001C50AC" w:rsidP="000418C9">
      <w:pPr>
        <w:pStyle w:val="BodyText"/>
        <w:rPr>
          <w:b/>
          <w:i/>
          <w:iCs/>
          <w:lang w:val="en-US"/>
        </w:rPr>
      </w:pPr>
      <w:r w:rsidRPr="00AC5FC0">
        <w:rPr>
          <w:b/>
          <w:i/>
          <w:iCs/>
          <w:lang w:val="en-US"/>
        </w:rPr>
        <w:t>Hard copy documents</w:t>
      </w:r>
    </w:p>
    <w:p w14:paraId="4ED4A042" w14:textId="77777777" w:rsidR="000418C9" w:rsidRPr="00AC5FC0" w:rsidRDefault="001C50AC" w:rsidP="000418C9">
      <w:pPr>
        <w:pStyle w:val="BodyText"/>
        <w:rPr>
          <w:i/>
          <w:iCs/>
          <w:lang w:val="en-US"/>
        </w:rPr>
      </w:pPr>
      <w:r w:rsidRPr="00AC5FC0">
        <w:rPr>
          <w:i/>
          <w:iCs/>
          <w:lang w:val="en-US"/>
        </w:rPr>
        <w:t xml:space="preserve">In accordance with Rule 30.3 of the Code, ScS Shareholders, persons with information rights and participants in the ScS Share Schemes may request a hard copy of this </w:t>
      </w:r>
      <w:r w:rsidR="00840798" w:rsidRPr="00AC5FC0">
        <w:rPr>
          <w:i/>
          <w:iCs/>
          <w:lang w:val="en-US"/>
        </w:rPr>
        <w:t>a</w:t>
      </w:r>
      <w:r w:rsidRPr="00AC5FC0">
        <w:rPr>
          <w:i/>
          <w:iCs/>
          <w:lang w:val="en-US"/>
        </w:rPr>
        <w:t xml:space="preserve">nnouncement by contacting </w:t>
      </w:r>
      <w:proofErr w:type="spellStart"/>
      <w:r w:rsidRPr="00AC5FC0">
        <w:rPr>
          <w:i/>
          <w:iCs/>
          <w:lang w:val="en-US"/>
        </w:rPr>
        <w:t>ScS’s</w:t>
      </w:r>
      <w:proofErr w:type="spellEnd"/>
      <w:r w:rsidRPr="00AC5FC0">
        <w:rPr>
          <w:i/>
          <w:iCs/>
          <w:lang w:val="en-US"/>
        </w:rPr>
        <w:t xml:space="preserve"> </w:t>
      </w:r>
      <w:r w:rsidR="00840798" w:rsidRPr="00AC5FC0">
        <w:rPr>
          <w:i/>
          <w:iCs/>
          <w:lang w:val="en-US"/>
        </w:rPr>
        <w:t>R</w:t>
      </w:r>
      <w:r w:rsidRPr="00AC5FC0">
        <w:rPr>
          <w:i/>
          <w:iCs/>
          <w:lang w:val="en-US"/>
        </w:rPr>
        <w:t>egistrars, Equiniti Limited, on +44 (0)371 384 2050 or by submitting a request in writing to Equiniti Limited, Aspect House, Spencer Road, Lancing, West Sussex BN99 6DA, United Kingdom. The Shareholder Helpline is open from 8.30 a.m. to 5.30 p.m. (London time) Monday to Friday (except English and Welsh public holidays). Calls are charged at the standard geographical rate and will vary by provider. Calls from outside the United Kingdom will be charged at the applicable international rate.</w:t>
      </w:r>
      <w:r w:rsidR="008A5F79">
        <w:rPr>
          <w:i/>
          <w:iCs/>
          <w:lang w:val="en-US"/>
        </w:rPr>
        <w:t xml:space="preserve"> Please ensure the country code is used</w:t>
      </w:r>
      <w:r w:rsidR="00B51BC3">
        <w:rPr>
          <w:i/>
          <w:iCs/>
          <w:lang w:val="en-US"/>
        </w:rPr>
        <w:t xml:space="preserve"> if calling from outside the United Kingdom</w:t>
      </w:r>
      <w:r w:rsidR="008A5F79">
        <w:rPr>
          <w:i/>
          <w:iCs/>
          <w:lang w:val="en-US"/>
        </w:rPr>
        <w:t>.</w:t>
      </w:r>
    </w:p>
    <w:p w14:paraId="4E14D2CD" w14:textId="77777777" w:rsidR="000418C9" w:rsidRPr="00AC5FC0" w:rsidRDefault="001C50AC" w:rsidP="000418C9">
      <w:pPr>
        <w:pStyle w:val="BodyText"/>
        <w:rPr>
          <w:i/>
          <w:iCs/>
          <w:lang w:val="en-US"/>
        </w:rPr>
      </w:pPr>
      <w:r w:rsidRPr="00AC5FC0">
        <w:rPr>
          <w:i/>
          <w:iCs/>
          <w:lang w:val="en-US"/>
        </w:rPr>
        <w:t xml:space="preserve">Please note the Shareholder Helpline cannot provide advice on the merits of the Acquisition or the Scheme nor give any financial, investment, legal or tax advice. </w:t>
      </w:r>
    </w:p>
    <w:p w14:paraId="0FE7DF9D" w14:textId="77777777" w:rsidR="000418C9" w:rsidRPr="00AC5FC0" w:rsidRDefault="001C50AC" w:rsidP="000418C9">
      <w:pPr>
        <w:pStyle w:val="BodyText"/>
        <w:rPr>
          <w:i/>
          <w:iCs/>
          <w:lang w:val="en-US"/>
        </w:rPr>
      </w:pPr>
      <w:r w:rsidRPr="00AC5FC0">
        <w:rPr>
          <w:i/>
          <w:iCs/>
          <w:lang w:val="en-US"/>
        </w:rPr>
        <w:t xml:space="preserve">For </w:t>
      </w:r>
      <w:proofErr w:type="gramStart"/>
      <w:r w:rsidRPr="00AC5FC0">
        <w:rPr>
          <w:i/>
          <w:iCs/>
          <w:lang w:val="en-US"/>
        </w:rPr>
        <w:t>persons</w:t>
      </w:r>
      <w:proofErr w:type="gramEnd"/>
      <w:r w:rsidRPr="00AC5FC0">
        <w:rPr>
          <w:i/>
          <w:iCs/>
          <w:lang w:val="en-US"/>
        </w:rPr>
        <w:t xml:space="preserve"> who receive a copy of this announcement in electronic form or via a website notification, a hard copy of this </w:t>
      </w:r>
      <w:r w:rsidR="00565402" w:rsidRPr="00AC5FC0">
        <w:rPr>
          <w:i/>
          <w:iCs/>
          <w:lang w:val="en-US"/>
        </w:rPr>
        <w:t>a</w:t>
      </w:r>
      <w:r w:rsidRPr="00AC5FC0">
        <w:rPr>
          <w:i/>
          <w:iCs/>
          <w:lang w:val="en-US"/>
        </w:rPr>
        <w:t xml:space="preserve">nnouncement will not be sent unless so requested. Such </w:t>
      </w:r>
      <w:proofErr w:type="gramStart"/>
      <w:r w:rsidRPr="00AC5FC0">
        <w:rPr>
          <w:i/>
          <w:iCs/>
          <w:lang w:val="en-US"/>
        </w:rPr>
        <w:t>persons</w:t>
      </w:r>
      <w:proofErr w:type="gramEnd"/>
      <w:r w:rsidRPr="00AC5FC0">
        <w:rPr>
          <w:i/>
          <w:iCs/>
          <w:lang w:val="en-US"/>
        </w:rPr>
        <w:t xml:space="preserve"> may also request that all future documents, </w:t>
      </w:r>
      <w:proofErr w:type="gramStart"/>
      <w:r w:rsidRPr="00AC5FC0">
        <w:rPr>
          <w:i/>
          <w:iCs/>
          <w:lang w:val="en-US"/>
        </w:rPr>
        <w:t>announcements</w:t>
      </w:r>
      <w:proofErr w:type="gramEnd"/>
      <w:r w:rsidRPr="00AC5FC0">
        <w:rPr>
          <w:i/>
          <w:iCs/>
          <w:lang w:val="en-US"/>
        </w:rPr>
        <w:t xml:space="preserve"> and information be sent to them in relation to the Acquisition in hard copy form. </w:t>
      </w:r>
    </w:p>
    <w:p w14:paraId="4D7A350B" w14:textId="77777777" w:rsidR="000418C9" w:rsidRPr="00AC5FC0" w:rsidRDefault="001C50AC" w:rsidP="000418C9">
      <w:pPr>
        <w:pStyle w:val="BodyText"/>
        <w:rPr>
          <w:b/>
          <w:i/>
          <w:iCs/>
          <w:lang w:val="en-US"/>
        </w:rPr>
      </w:pPr>
      <w:r w:rsidRPr="00AC5FC0">
        <w:rPr>
          <w:b/>
          <w:i/>
          <w:iCs/>
          <w:lang w:val="en-US"/>
        </w:rPr>
        <w:t>Information relating to ScS Shareholders</w:t>
      </w:r>
    </w:p>
    <w:p w14:paraId="37D755AC" w14:textId="77777777" w:rsidR="00DD4554" w:rsidRDefault="001C50AC" w:rsidP="000418C9">
      <w:pPr>
        <w:pStyle w:val="BodyText"/>
        <w:rPr>
          <w:i/>
          <w:iCs/>
          <w:lang w:val="en-US"/>
        </w:rPr>
      </w:pPr>
      <w:r w:rsidRPr="00AC5FC0">
        <w:rPr>
          <w:i/>
          <w:iCs/>
          <w:lang w:val="en-US"/>
        </w:rPr>
        <w:t xml:space="preserve">Addresses, electronic </w:t>
      </w:r>
      <w:proofErr w:type="gramStart"/>
      <w:r w:rsidRPr="00AC5FC0">
        <w:rPr>
          <w:i/>
          <w:iCs/>
          <w:lang w:val="en-US"/>
        </w:rPr>
        <w:t>addresses</w:t>
      </w:r>
      <w:proofErr w:type="gramEnd"/>
      <w:r w:rsidRPr="00AC5FC0">
        <w:rPr>
          <w:i/>
          <w:iCs/>
          <w:lang w:val="en-US"/>
        </w:rPr>
        <w:t xml:space="preserve"> and certain other information provided by ScS Shareholders, persons with information rights and other relevant persons for the receipt of communications from ScS may be provided to Poltronesofà and BidCo during the Offer Period as required under Section 4 of Appendix 4 of the Code to comply with Rule 2.11(c) of the Code.</w:t>
      </w:r>
    </w:p>
    <w:p w14:paraId="30E0D216" w14:textId="186362F0" w:rsidR="000418C9" w:rsidRPr="00DB0D66" w:rsidRDefault="001C50AC" w:rsidP="000418C9">
      <w:pPr>
        <w:pStyle w:val="BodyText"/>
        <w:rPr>
          <w:b/>
          <w:i/>
          <w:lang w:val="en-US"/>
        </w:rPr>
      </w:pPr>
      <w:r w:rsidRPr="00AC5FC0">
        <w:rPr>
          <w:b/>
          <w:i/>
          <w:iCs/>
          <w:lang w:val="en-US"/>
        </w:rPr>
        <w:t>Rounding</w:t>
      </w:r>
    </w:p>
    <w:p w14:paraId="70D0DD87" w14:textId="77777777" w:rsidR="00DD4554" w:rsidRDefault="001C50AC" w:rsidP="000418C9">
      <w:pPr>
        <w:pStyle w:val="BodyText"/>
        <w:rPr>
          <w:i/>
          <w:iCs/>
          <w:lang w:val="en-US"/>
        </w:rPr>
      </w:pPr>
      <w:r w:rsidRPr="00AC5FC0">
        <w:rPr>
          <w:i/>
          <w:iCs/>
          <w:lang w:val="en-US"/>
        </w:rPr>
        <w:lastRenderedPageBreak/>
        <w:t xml:space="preserve">Certain figures included in this </w:t>
      </w:r>
      <w:r w:rsidR="00840798" w:rsidRPr="00AC5FC0">
        <w:rPr>
          <w:i/>
          <w:iCs/>
          <w:lang w:val="en-US"/>
        </w:rPr>
        <w:t>a</w:t>
      </w:r>
      <w:r w:rsidRPr="00AC5FC0">
        <w:rPr>
          <w:i/>
          <w:iCs/>
          <w:lang w:val="en-US"/>
        </w:rPr>
        <w:t xml:space="preserve">nnouncement have been subjected to rounding adjustments. Accordingly, figures shown for the same category presented in different tables may vary slightly and figures shown as totals in certain tables may not be an arithmetic aggregation of the figures that precede them. </w:t>
      </w:r>
    </w:p>
    <w:p w14:paraId="5CC12AF3" w14:textId="5AFE8212" w:rsidR="000418C9" w:rsidRPr="00AC5FC0" w:rsidRDefault="001C50AC" w:rsidP="000418C9">
      <w:pPr>
        <w:pStyle w:val="BodyText"/>
        <w:rPr>
          <w:b/>
          <w:i/>
          <w:iCs/>
          <w:lang w:val="en-US"/>
        </w:rPr>
      </w:pPr>
      <w:r w:rsidRPr="00AC5FC0">
        <w:rPr>
          <w:b/>
          <w:i/>
          <w:iCs/>
          <w:lang w:val="en-US"/>
        </w:rPr>
        <w:t>Disclosure requirements of the Code</w:t>
      </w:r>
    </w:p>
    <w:p w14:paraId="799992DA" w14:textId="77777777" w:rsidR="000418C9" w:rsidRPr="00AC5FC0" w:rsidRDefault="001C50AC" w:rsidP="000418C9">
      <w:pPr>
        <w:pStyle w:val="BodyText"/>
        <w:rPr>
          <w:i/>
          <w:iCs/>
          <w:lang w:val="en-US"/>
        </w:rPr>
      </w:pPr>
      <w:r w:rsidRPr="00AC5FC0">
        <w:rPr>
          <w:i/>
          <w:iCs/>
          <w:lang w:val="en-US"/>
        </w:rPr>
        <w:t xml:space="preserve">Under Rule 8.3(a) of the Code, any person who is interested in 1 per cent. or more of any class of relevant securities of an offeree company or of any securities exchange offeror (being any offeror other than an offeror in respect of which it has been announced that its offer is, or is likely to be, solely in cash) must make an Opening Position Disclosure following the commencement of the Offer Period and, if later, following the announcement in which any securities exchange offeror is first identified. </w:t>
      </w:r>
    </w:p>
    <w:p w14:paraId="13A3A897" w14:textId="77777777" w:rsidR="000418C9" w:rsidRPr="00AC5FC0" w:rsidRDefault="001C50AC" w:rsidP="000418C9">
      <w:pPr>
        <w:pStyle w:val="BodyText"/>
        <w:rPr>
          <w:i/>
          <w:iCs/>
          <w:lang w:val="en-US"/>
        </w:rPr>
      </w:pPr>
      <w:r w:rsidRPr="00AC5FC0">
        <w:rPr>
          <w:i/>
          <w:iCs/>
          <w:lang w:val="en-US"/>
        </w:rPr>
        <w:t>An Opening Position Disclosure must contain details of the person’s interests and short positions in, and rights to subscribe for, any relevant securities of each of (</w:t>
      </w:r>
      <w:proofErr w:type="spellStart"/>
      <w:r w:rsidRPr="00AC5FC0">
        <w:rPr>
          <w:i/>
          <w:iCs/>
          <w:lang w:val="en-US"/>
        </w:rPr>
        <w:t>i</w:t>
      </w:r>
      <w:proofErr w:type="spellEnd"/>
      <w:r w:rsidRPr="00AC5FC0">
        <w:rPr>
          <w:i/>
          <w:iCs/>
          <w:lang w:val="en-US"/>
        </w:rPr>
        <w:t xml:space="preserve">) the offeree </w:t>
      </w:r>
      <w:proofErr w:type="gramStart"/>
      <w:r w:rsidRPr="00AC5FC0">
        <w:rPr>
          <w:i/>
          <w:iCs/>
          <w:lang w:val="en-US"/>
        </w:rPr>
        <w:t>company</w:t>
      </w:r>
      <w:proofErr w:type="gramEnd"/>
      <w:r w:rsidRPr="00AC5FC0">
        <w:rPr>
          <w:i/>
          <w:iCs/>
          <w:lang w:val="en-US"/>
        </w:rPr>
        <w:t xml:space="preserve"> and (ii) any securities exchange offeror(s). An Opening Position Disclosure by a person to whom Rule 8.3(a) applies must be made by no later than 3.30 p.m. (London time) on the 10th Business Day (as defined in the Code) following the commencement of the Offer Period and, if appropriate, by no later than 3.30 p.m. (London time) on the 10th Business Day (as defined in the Code) following the announcement in which any securities exchange offeror is first identified. Relevant persons who deal in the relevant securities of the offeree company or of a securities exchange offeror prior to the deadline for making an Opening Position Disclosure must instead make a Dealing Disclosure.</w:t>
      </w:r>
    </w:p>
    <w:p w14:paraId="088751D8" w14:textId="77777777" w:rsidR="000418C9" w:rsidRPr="00AC5FC0" w:rsidRDefault="001C50AC" w:rsidP="000418C9">
      <w:pPr>
        <w:pStyle w:val="BodyText"/>
        <w:rPr>
          <w:i/>
          <w:iCs/>
          <w:lang w:val="en-US"/>
        </w:rPr>
      </w:pPr>
      <w:r w:rsidRPr="00AC5FC0">
        <w:rPr>
          <w:i/>
          <w:iCs/>
          <w:lang w:val="en-US"/>
        </w:rPr>
        <w:t>Under Rule 8.3(b) of the Code, any person who is, or becomes, interested in 1 per cent. or more of any class of relevant securities of the offeree company or of any securities exchange offeror must make a Dealing Disclosure if the person deals in any relevant securities of the offeree company or of any securities exchange offeror. A Dealing Disclosure must contain details of the dealing concerned and of the person’s interests and short positions in, and rights to subscribe for, any relevant securities of each of (</w:t>
      </w:r>
      <w:proofErr w:type="spellStart"/>
      <w:r w:rsidRPr="00AC5FC0">
        <w:rPr>
          <w:i/>
          <w:iCs/>
          <w:lang w:val="en-US"/>
        </w:rPr>
        <w:t>i</w:t>
      </w:r>
      <w:proofErr w:type="spellEnd"/>
      <w:r w:rsidRPr="00AC5FC0">
        <w:rPr>
          <w:i/>
          <w:iCs/>
          <w:lang w:val="en-US"/>
        </w:rPr>
        <w:t>) the offeree company and (ii) any securities exchange offeror(s), save to the extent that these details have previously been disclosed under Rule 8. A Dealing Disclosure by a person to whom Rule 8.3(b) applies must be made by no later than 3.30 p.m. (London time) on the Business Day (as defined in the Code) following the date of the relevant dealing.</w:t>
      </w:r>
    </w:p>
    <w:p w14:paraId="4A5B8CA8" w14:textId="77777777" w:rsidR="000418C9" w:rsidRPr="00AC5FC0" w:rsidRDefault="001C50AC" w:rsidP="000418C9">
      <w:pPr>
        <w:pStyle w:val="BodyText"/>
        <w:rPr>
          <w:i/>
          <w:iCs/>
          <w:lang w:val="en-US"/>
        </w:rPr>
      </w:pPr>
      <w:r w:rsidRPr="00AC5FC0">
        <w:rPr>
          <w:i/>
          <w:iCs/>
          <w:lang w:val="en-US"/>
        </w:rPr>
        <w:t>If two or more persons act together pursuant to an agreement or understanding, whether formal or informal, to acquire or control an interest in relevant securities of an offeree company or a securities exchange offeror, they will be deemed to be a single person for the purpose of Rule 8.3.</w:t>
      </w:r>
    </w:p>
    <w:p w14:paraId="352FE3EC" w14:textId="77777777" w:rsidR="000418C9" w:rsidRPr="00AC5FC0" w:rsidRDefault="001C50AC" w:rsidP="000418C9">
      <w:pPr>
        <w:pStyle w:val="BodyText"/>
        <w:rPr>
          <w:i/>
          <w:iCs/>
          <w:lang w:val="en-US"/>
        </w:rPr>
      </w:pPr>
      <w:r w:rsidRPr="00AC5FC0">
        <w:rPr>
          <w:i/>
          <w:iCs/>
          <w:lang w:val="en-US"/>
        </w:rPr>
        <w:t xml:space="preserve">Opening Position Disclosures must also be made by the offeree company and by any offeror and Dealing Disclosures must also be made by the offeree company, by any offeror and by any </w:t>
      </w:r>
      <w:proofErr w:type="gramStart"/>
      <w:r w:rsidRPr="00AC5FC0">
        <w:rPr>
          <w:i/>
          <w:iCs/>
          <w:lang w:val="en-US"/>
        </w:rPr>
        <w:t>persons</w:t>
      </w:r>
      <w:proofErr w:type="gramEnd"/>
      <w:r w:rsidRPr="00AC5FC0">
        <w:rPr>
          <w:i/>
          <w:iCs/>
          <w:lang w:val="en-US"/>
        </w:rPr>
        <w:t xml:space="preserve"> acting in concert with any of them (see Rules 8.1, 8.2 and 8.4).</w:t>
      </w:r>
    </w:p>
    <w:p w14:paraId="094794E0" w14:textId="77777777" w:rsidR="008A5F79" w:rsidRPr="006704C6" w:rsidRDefault="001C50AC" w:rsidP="006704C6">
      <w:pPr>
        <w:pStyle w:val="BodyText"/>
        <w:rPr>
          <w:i/>
          <w:iCs/>
          <w:lang w:val="en-US"/>
        </w:rPr>
      </w:pPr>
      <w:r w:rsidRPr="00AC5FC0">
        <w:rPr>
          <w:i/>
          <w:iCs/>
          <w:lang w:val="en-US"/>
        </w:rPr>
        <w:t>Details of the offeree and offeror companies in respect of whose relevant securities Opening Position Disclosures and Dealing Disclosures must be made can be found in the Disclosure Table on the Panel’s website at www.thetakeoverpanel.org.uk, including details of the number of relevant securities in issue, when the Offer Period commenced and when any offeror was first identified. If you are in any doubt as to whether you are required to make an Opening Position Disclosure or a Dealing Disclosure, you should contact the Panel’s Market Surveillance Unit on +44(0)20 7638 0129</w:t>
      </w:r>
      <w:r w:rsidR="00840798" w:rsidRPr="00AC5FC0">
        <w:rPr>
          <w:i/>
          <w:iCs/>
          <w:lang w:val="en-US"/>
        </w:rPr>
        <w:t xml:space="preserve">. </w:t>
      </w:r>
    </w:p>
    <w:bookmarkEnd w:id="2"/>
    <w:p w14:paraId="1A271B70" w14:textId="77777777" w:rsidR="008A5F79" w:rsidRPr="00840798" w:rsidRDefault="008A5F79" w:rsidP="00840798">
      <w:pPr>
        <w:pStyle w:val="BodyText"/>
        <w:jc w:val="center"/>
        <w:rPr>
          <w:b/>
          <w:bCs/>
          <w:iCs/>
          <w:lang w:val="en-US"/>
        </w:rPr>
      </w:pPr>
    </w:p>
    <w:sectPr w:rsidR="008A5F79" w:rsidRPr="008407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E9C59" w14:textId="77777777" w:rsidR="008B5382" w:rsidRDefault="008B5382">
      <w:pPr>
        <w:spacing w:after="0" w:line="240" w:lineRule="auto"/>
      </w:pPr>
      <w:r>
        <w:separator/>
      </w:r>
    </w:p>
  </w:endnote>
  <w:endnote w:type="continuationSeparator" w:id="0">
    <w:p w14:paraId="3A494D70" w14:textId="77777777" w:rsidR="008B5382" w:rsidRDefault="008B5382">
      <w:pPr>
        <w:spacing w:after="0" w:line="240" w:lineRule="auto"/>
      </w:pPr>
      <w:r>
        <w:continuationSeparator/>
      </w:r>
    </w:p>
  </w:endnote>
  <w:endnote w:type="continuationNotice" w:id="1">
    <w:p w14:paraId="2CED5785" w14:textId="77777777" w:rsidR="008B5382" w:rsidRDefault="008B53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BF79" w14:textId="77777777" w:rsidR="00DD4554" w:rsidRDefault="00DD4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6A26" w14:textId="54FD44BD" w:rsidR="002A5A3D" w:rsidRDefault="001C50AC">
    <w:pPr>
      <w:pStyle w:val="Footer"/>
      <w:jc w:val="center"/>
    </w:pPr>
    <w:r>
      <w:fldChar w:fldCharType="begin"/>
    </w:r>
    <w:r>
      <w:instrText xml:space="preserve"> PAGE   \* MERGEFORMAT </w:instrText>
    </w:r>
    <w:r>
      <w:fldChar w:fldCharType="separate"/>
    </w:r>
    <w:r w:rsidR="008137C5">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E215" w14:textId="77777777" w:rsidR="00DD4554" w:rsidRDefault="00DD4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D2C8A" w14:textId="77777777" w:rsidR="008B5382" w:rsidRDefault="008B5382">
      <w:pPr>
        <w:spacing w:after="0" w:line="240" w:lineRule="auto"/>
      </w:pPr>
      <w:r>
        <w:separator/>
      </w:r>
    </w:p>
  </w:footnote>
  <w:footnote w:type="continuationSeparator" w:id="0">
    <w:p w14:paraId="76DCA9AA" w14:textId="77777777" w:rsidR="008B5382" w:rsidRDefault="008B5382">
      <w:pPr>
        <w:spacing w:after="0" w:line="240" w:lineRule="auto"/>
      </w:pPr>
      <w:r>
        <w:continuationSeparator/>
      </w:r>
    </w:p>
  </w:footnote>
  <w:footnote w:type="continuationNotice" w:id="1">
    <w:p w14:paraId="7EA65D6A" w14:textId="77777777" w:rsidR="008B5382" w:rsidRDefault="008B53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4197" w14:textId="77777777" w:rsidR="00DD4554" w:rsidRDefault="00DD4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44CB" w14:textId="1B15B9DF" w:rsidR="006F68FF" w:rsidRPr="00DB0D66" w:rsidRDefault="006F68FF" w:rsidP="00DB0D66">
    <w:pPr>
      <w:pStyle w:val="Header"/>
      <w:jc w:val="right"/>
      <w:rPr>
        <w:b/>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6AA2" w14:textId="77777777" w:rsidR="00DD4554" w:rsidRDefault="00DD4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0"/>
    <w:lvl w:ilvl="0">
      <w:start w:val="1"/>
      <w:numFmt w:val="decimal"/>
      <w:pStyle w:val="CoverPartyName"/>
      <w:lvlText w:val="(%1)"/>
      <w:lvlJc w:val="left"/>
    </w:lvl>
  </w:abstractNum>
  <w:abstractNum w:abstractNumId="1" w15:restartNumberingAfterBreak="0">
    <w:nsid w:val="103C0B49"/>
    <w:multiLevelType w:val="multilevel"/>
    <w:tmpl w:val="00000000"/>
    <w:name w:val="AppendixText Paragraphs"/>
    <w:lvl w:ilvl="0">
      <w:start w:val="1"/>
      <w:numFmt w:val="decimal"/>
      <w:pStyle w:val="AppendixText"/>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2" w15:restartNumberingAfterBreak="0">
    <w:nsid w:val="13682EBB"/>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3" w15:restartNumberingAfterBreak="0">
    <w:nsid w:val="183816C8"/>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19092A4D"/>
    <w:multiLevelType w:val="hybridMultilevel"/>
    <w:tmpl w:val="350ECC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5A45F4"/>
    <w:multiLevelType w:val="multilevel"/>
    <w:tmpl w:val="00000000"/>
    <w:name w:val="TOCList"/>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1F3C06F3"/>
    <w:multiLevelType w:val="hybridMultilevel"/>
    <w:tmpl w:val="0B54EF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261C05"/>
    <w:multiLevelType w:val="multilevel"/>
    <w:tmpl w:val="9AF2DA78"/>
    <w:styleLink w:val="ListScheduleNumbering"/>
    <w:lvl w:ilvl="0">
      <w:start w:val="1"/>
      <w:numFmt w:val="decimal"/>
      <w:suff w:val="nothing"/>
      <w:lvlText w:val="Schedule %1"/>
      <w:lvlJc w:val="left"/>
      <w:pPr>
        <w:ind w:left="0" w:firstLine="0"/>
      </w:pPr>
      <w:rPr>
        <w:rFonts w:hint="default"/>
        <w:b/>
        <w:i w:val="0"/>
        <w:u w:val="single"/>
      </w:rPr>
    </w:lvl>
    <w:lvl w:ilvl="1">
      <w:start w:val="1"/>
      <w:numFmt w:val="decimal"/>
      <w:suff w:val="nothing"/>
      <w:lvlText w:val="Part %2"/>
      <w:lvlJc w:val="left"/>
      <w:pPr>
        <w:ind w:left="0" w:firstLine="0"/>
      </w:pPr>
      <w:rPr>
        <w:rFonts w:hint="default"/>
        <w:u w:val="single"/>
      </w:rPr>
    </w:lvl>
    <w:lvl w:ilvl="2">
      <w:start w:val="1"/>
      <w:numFmt w:val="decimal"/>
      <w:lvlText w:val="%3."/>
      <w:lvlJc w:val="left"/>
      <w:pPr>
        <w:ind w:left="720" w:hanging="720"/>
      </w:pPr>
      <w:rPr>
        <w:rFonts w:hint="default"/>
        <w:b w:val="0"/>
        <w:i w:val="0"/>
      </w:rPr>
    </w:lvl>
    <w:lvl w:ilvl="3">
      <w:start w:val="1"/>
      <w:numFmt w:val="decimal"/>
      <w:lvlText w:val="%3.%4."/>
      <w:lvlJc w:val="left"/>
      <w:pPr>
        <w:ind w:left="720" w:hanging="720"/>
      </w:pPr>
      <w:rPr>
        <w:rFonts w:hint="default"/>
      </w:rPr>
    </w:lvl>
    <w:lvl w:ilvl="4">
      <w:start w:val="1"/>
      <w:numFmt w:val="decimal"/>
      <w:lvlText w:val="%3.%4.%5."/>
      <w:lvlJc w:val="left"/>
      <w:pPr>
        <w:ind w:left="1800" w:hanging="1080"/>
      </w:pPr>
      <w:rPr>
        <w:rFonts w:hint="default"/>
      </w:rPr>
    </w:lvl>
    <w:lvl w:ilvl="5">
      <w:start w:val="1"/>
      <w:numFmt w:val="decimal"/>
      <w:lvlText w:val="%3.%4.%5.%6."/>
      <w:lvlJc w:val="left"/>
      <w:pPr>
        <w:ind w:left="3238" w:hanging="1438"/>
      </w:pPr>
      <w:rPr>
        <w:rFonts w:hint="default"/>
      </w:rPr>
    </w:lvl>
    <w:lvl w:ilvl="6">
      <w:start w:val="1"/>
      <w:numFmt w:val="decimal"/>
      <w:lvlText w:val="%3.%4.%5.%6.%7."/>
      <w:lvlJc w:val="left"/>
      <w:pPr>
        <w:ind w:left="3238" w:hanging="1441"/>
      </w:pPr>
      <w:rPr>
        <w:rFonts w:hint="default"/>
      </w:rPr>
    </w:lvl>
    <w:lvl w:ilvl="7">
      <w:start w:val="1"/>
      <w:numFmt w:val="lowerLetter"/>
      <w:lvlText w:val="(%8)"/>
      <w:lvlJc w:val="left"/>
      <w:pPr>
        <w:ind w:left="4315" w:hanging="1077"/>
      </w:pPr>
      <w:rPr>
        <w:rFonts w:hint="default"/>
      </w:rPr>
    </w:lvl>
    <w:lvl w:ilvl="8">
      <w:start w:val="1"/>
      <w:numFmt w:val="lowerRoman"/>
      <w:lvlText w:val="(%9)"/>
      <w:lvlJc w:val="left"/>
      <w:pPr>
        <w:ind w:left="4315" w:hanging="1077"/>
      </w:pPr>
      <w:rPr>
        <w:rFonts w:hint="default"/>
      </w:rPr>
    </w:lvl>
  </w:abstractNum>
  <w:abstractNum w:abstractNumId="8" w15:restartNumberingAfterBreak="0">
    <w:nsid w:val="20B95C7B"/>
    <w:multiLevelType w:val="hybridMultilevel"/>
    <w:tmpl w:val="AE766CE6"/>
    <w:lvl w:ilvl="0" w:tplc="FFFFFFFF">
      <w:start w:val="1"/>
      <w:numFmt w:val="decimal"/>
      <w:lvlText w:val="%1."/>
      <w:lvlJc w:val="left"/>
      <w:pPr>
        <w:tabs>
          <w:tab w:val="num" w:pos="397"/>
        </w:tabs>
        <w:ind w:left="397" w:hanging="397"/>
      </w:pPr>
      <w:rPr>
        <w:rFonts w:hint="default"/>
        <w:vertAlign w:val="superscrip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73DC842"/>
    <w:multiLevelType w:val="multilevel"/>
    <w:tmpl w:val="00000000"/>
    <w:name w:val="DraftingNotes"/>
    <w:lvl w:ilvl="0">
      <w:start w:val="1"/>
      <w:numFmt w:val="none"/>
      <w:pStyle w:val="DraftingNote"/>
      <w:suff w:val="nothing"/>
      <w:lvlText w:val=""/>
      <w:lvlJc w:val="left"/>
      <w:pPr>
        <w:tabs>
          <w:tab w:val="num" w:pos="720"/>
        </w:tabs>
      </w:pPr>
    </w:lvl>
    <w:lvl w:ilvl="1">
      <w:start w:val="1"/>
      <w:numFmt w:val="lowerLetter"/>
      <w:pStyle w:val="DraftingNoteList1"/>
      <w:lvlText w:val="(%2)"/>
      <w:lvlJc w:val="left"/>
      <w:pPr>
        <w:tabs>
          <w:tab w:val="num" w:pos="720"/>
        </w:tabs>
        <w:ind w:left="720" w:hanging="720"/>
      </w:pPr>
    </w:lvl>
    <w:lvl w:ilvl="2">
      <w:start w:val="1"/>
      <w:numFmt w:val="lowerRoman"/>
      <w:pStyle w:val="DraftingNoteList2"/>
      <w:lvlText w:val="(%3)"/>
      <w:lvlJc w:val="left"/>
      <w:pPr>
        <w:tabs>
          <w:tab w:val="num" w:pos="1440"/>
        </w:tabs>
        <w:ind w:left="1440" w:hanging="720"/>
      </w:pPr>
    </w:lvl>
    <w:lvl w:ilvl="3">
      <w:start w:val="1"/>
      <w:numFmt w:val="upperLetter"/>
      <w:pStyle w:val="DraftingNoteList3"/>
      <w:lvlText w:val="(%4)"/>
      <w:lvlJc w:val="left"/>
      <w:pPr>
        <w:tabs>
          <w:tab w:val="num" w:pos="2161"/>
        </w:tabs>
        <w:ind w:left="2161" w:hanging="720"/>
      </w:pPr>
    </w:lvl>
    <w:lvl w:ilvl="4">
      <w:start w:val="1"/>
      <w:numFmt w:val="lowerLetter"/>
      <w:pStyle w:val="DraftingNoteList4"/>
      <w:lvlText w:val="(%5%5)"/>
      <w:lvlJc w:val="left"/>
      <w:pPr>
        <w:tabs>
          <w:tab w:val="num" w:pos="2882"/>
        </w:tabs>
        <w:ind w:left="2882" w:hanging="720"/>
      </w:pPr>
    </w:lvl>
    <w:lvl w:ilvl="5">
      <w:start w:val="1"/>
      <w:numFmt w:val="upperLetter"/>
      <w:pStyle w:val="DraftingNoteList5"/>
      <w:lvlText w:val="(%6)"/>
      <w:lvlJc w:val="left"/>
      <w:pPr>
        <w:tabs>
          <w:tab w:val="num" w:pos="3603"/>
        </w:tabs>
        <w:ind w:left="3603"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30015399"/>
    <w:multiLevelType w:val="multilevel"/>
    <w:tmpl w:val="C3842F18"/>
    <w:styleLink w:val="ListDefinitions"/>
    <w:lvl w:ilvl="0">
      <w:start w:val="1"/>
      <w:numFmt w:val="none"/>
      <w:suff w:val="nothing"/>
      <w:lvlText w:val=""/>
      <w:lvlJc w:val="left"/>
      <w:pPr>
        <w:ind w:left="0" w:firstLine="0"/>
      </w:pPr>
      <w:rPr>
        <w:rFonts w:hint="default"/>
      </w:rPr>
    </w:lvl>
    <w:lvl w:ilvl="1">
      <w:start w:val="1"/>
      <w:numFmt w:val="lowerLetter"/>
      <w:lvlText w:val="(%2)"/>
      <w:lvlJc w:val="left"/>
      <w:pPr>
        <w:ind w:left="539" w:hanging="539"/>
      </w:pPr>
      <w:rPr>
        <w:rFonts w:hint="default"/>
      </w:rPr>
    </w:lvl>
    <w:lvl w:ilvl="2">
      <w:start w:val="1"/>
      <w:numFmt w:val="lowerRoman"/>
      <w:lvlText w:val="(%3)"/>
      <w:lvlJc w:val="left"/>
      <w:pPr>
        <w:ind w:left="1080" w:hanging="541"/>
      </w:pPr>
      <w:rPr>
        <w:rFonts w:hint="default"/>
      </w:rPr>
    </w:lvl>
    <w:lvl w:ilvl="3">
      <w:start w:val="1"/>
      <w:numFmt w:val="upperLetter"/>
      <w:lvlText w:val="(%4)"/>
      <w:lvlJc w:val="left"/>
      <w:pPr>
        <w:ind w:left="1616" w:hanging="536"/>
      </w:pPr>
      <w:rPr>
        <w:rFonts w:hint="default"/>
      </w:rPr>
    </w:lvl>
    <w:lvl w:ilvl="4">
      <w:start w:val="1"/>
      <w:numFmt w:val="decimal"/>
      <w:lvlText w:val="(%5)"/>
      <w:lvlJc w:val="left"/>
      <w:pPr>
        <w:ind w:left="2155" w:hanging="539"/>
      </w:pPr>
      <w:rPr>
        <w:rFonts w:hint="default"/>
      </w:rPr>
    </w:lvl>
    <w:lvl w:ilvl="5">
      <w:start w:val="1"/>
      <w:numFmt w:val="lowerLetter"/>
      <w:lvlText w:val="(%6)"/>
      <w:lvlJc w:val="left"/>
      <w:pPr>
        <w:ind w:left="2693" w:hanging="538"/>
      </w:pPr>
      <w:rPr>
        <w:rFonts w:hint="default"/>
      </w:rPr>
    </w:lvl>
    <w:lvl w:ilvl="6">
      <w:start w:val="1"/>
      <w:numFmt w:val="lowerRoman"/>
      <w:lvlText w:val="(%7)"/>
      <w:lvlJc w:val="left"/>
      <w:pPr>
        <w:ind w:left="2693" w:hanging="482"/>
      </w:pPr>
      <w:rPr>
        <w:rFonts w:hint="default"/>
      </w:rPr>
    </w:lvl>
    <w:lvl w:ilvl="7">
      <w:start w:val="1"/>
      <w:numFmt w:val="upperLetter"/>
      <w:lvlText w:val="(%8)"/>
      <w:lvlJc w:val="left"/>
      <w:pPr>
        <w:ind w:left="2693" w:hanging="538"/>
      </w:pPr>
      <w:rPr>
        <w:rFonts w:hint="default"/>
      </w:rPr>
    </w:lvl>
    <w:lvl w:ilvl="8">
      <w:start w:val="1"/>
      <w:numFmt w:val="decimal"/>
      <w:lvlText w:val="(%9)"/>
      <w:lvlJc w:val="left"/>
      <w:pPr>
        <w:ind w:left="2693" w:hanging="538"/>
      </w:pPr>
      <w:rPr>
        <w:rFonts w:hint="default"/>
      </w:rPr>
    </w:lvl>
  </w:abstractNum>
  <w:abstractNum w:abstractNumId="11" w15:restartNumberingAfterBreak="0">
    <w:nsid w:val="34265755"/>
    <w:multiLevelType w:val="hybridMultilevel"/>
    <w:tmpl w:val="9F286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9F7BFD"/>
    <w:multiLevelType w:val="multilevel"/>
    <w:tmpl w:val="0000000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15:restartNumberingAfterBreak="0">
    <w:nsid w:val="45E8E92D"/>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14" w15:restartNumberingAfterBreak="0">
    <w:nsid w:val="4A1D7E39"/>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4CCC6601"/>
    <w:multiLevelType w:val="multilevel"/>
    <w:tmpl w:val="90F21CB4"/>
    <w:styleLink w:val="ListOperativeNumbering"/>
    <w:lvl w:ilvl="0">
      <w:start w:val="1"/>
      <w:numFmt w:val="decimal"/>
      <w:lvlText w:val="%1."/>
      <w:lvlJc w:val="left"/>
      <w:pPr>
        <w:ind w:left="720" w:hanging="720"/>
      </w:pPr>
      <w:rPr>
        <w:rFonts w:hint="default"/>
        <w:b w:val="0"/>
        <w:i w:val="0"/>
        <w:u w:val="none"/>
      </w:rPr>
    </w:lvl>
    <w:lvl w:ilvl="1">
      <w:start w:val="1"/>
      <w:numFmt w:val="decimal"/>
      <w:lvlText w:val="%1.%2."/>
      <w:lvlJc w:val="left"/>
      <w:pPr>
        <w:ind w:left="720" w:hanging="720"/>
      </w:pPr>
      <w:rPr>
        <w:rFonts w:hint="default"/>
      </w:rPr>
    </w:lvl>
    <w:lvl w:ilvl="2">
      <w:start w:val="1"/>
      <w:numFmt w:val="decimal"/>
      <w:lvlText w:val="%1.%2.%3."/>
      <w:lvlJc w:val="left"/>
      <w:pPr>
        <w:ind w:left="1797" w:hanging="1077"/>
      </w:pPr>
      <w:rPr>
        <w:rFonts w:hint="default"/>
      </w:rPr>
    </w:lvl>
    <w:lvl w:ilvl="3">
      <w:start w:val="1"/>
      <w:numFmt w:val="decimal"/>
      <w:lvlText w:val="%1.%2.%3.%4."/>
      <w:lvlJc w:val="left"/>
      <w:pPr>
        <w:ind w:left="3238" w:hanging="1441"/>
      </w:pPr>
      <w:rPr>
        <w:rFonts w:hint="default"/>
      </w:rPr>
    </w:lvl>
    <w:lvl w:ilvl="4">
      <w:start w:val="1"/>
      <w:numFmt w:val="decimal"/>
      <w:lvlText w:val="%1.%2.%3.%4.%5."/>
      <w:lvlJc w:val="left"/>
      <w:pPr>
        <w:ind w:left="3238" w:hanging="1441"/>
      </w:pPr>
      <w:rPr>
        <w:rFonts w:hint="default"/>
      </w:rPr>
    </w:lvl>
    <w:lvl w:ilvl="5">
      <w:start w:val="1"/>
      <w:numFmt w:val="lowerLetter"/>
      <w:lvlText w:val="(%6)"/>
      <w:lvlJc w:val="left"/>
      <w:pPr>
        <w:ind w:left="4315" w:hanging="1077"/>
      </w:pPr>
      <w:rPr>
        <w:rFonts w:hint="default"/>
      </w:rPr>
    </w:lvl>
    <w:lvl w:ilvl="6">
      <w:start w:val="1"/>
      <w:numFmt w:val="lowerRoman"/>
      <w:lvlText w:val="(%7)"/>
      <w:lvlJc w:val="left"/>
      <w:pPr>
        <w:ind w:left="4315" w:hanging="1077"/>
      </w:pPr>
      <w:rPr>
        <w:rFonts w:hint="default"/>
      </w:rPr>
    </w:lvl>
    <w:lvl w:ilvl="7">
      <w:start w:val="1"/>
      <w:numFmt w:val="upperLetter"/>
      <w:lvlText w:val="(%8)"/>
      <w:lvlJc w:val="left"/>
      <w:pPr>
        <w:ind w:left="5392" w:hanging="1077"/>
      </w:pPr>
      <w:rPr>
        <w:rFonts w:hint="default"/>
      </w:rPr>
    </w:lvl>
    <w:lvl w:ilvl="8">
      <w:start w:val="1"/>
      <w:numFmt w:val="decimal"/>
      <w:lvlText w:val="(%9)"/>
      <w:lvlJc w:val="left"/>
      <w:pPr>
        <w:ind w:left="5392" w:hanging="1077"/>
      </w:pPr>
      <w:rPr>
        <w:rFonts w:hint="default"/>
      </w:rPr>
    </w:lvl>
  </w:abstractNum>
  <w:abstractNum w:abstractNumId="16" w15:restartNumberingAfterBreak="0">
    <w:nsid w:val="5E18BC04"/>
    <w:multiLevelType w:val="multilevel"/>
    <w:tmpl w:val="00000000"/>
    <w:name w:val="Prayer"/>
    <w:lvl w:ilvl="0">
      <w:start w:val="1"/>
      <w:numFmt w:val="decimal"/>
      <w:pStyle w:val="Prayer"/>
      <w:lvlText w:val="(%1)"/>
      <w:lvlJc w:val="left"/>
      <w:pPr>
        <w:tabs>
          <w:tab w:val="num" w:pos="720"/>
        </w:tabs>
        <w:ind w:left="720" w:hanging="720"/>
      </w:pPr>
    </w:lvl>
    <w:lvl w:ilvl="1">
      <w:start w:val="1"/>
      <w:numFmt w:val="lowerLetter"/>
      <w:pStyle w:val="Prayer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623DF740"/>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lvlText w:val="%2"/>
      <w:lvlJc w:val="left"/>
      <w:pPr>
        <w:tabs>
          <w:tab w:val="num" w:pos="720"/>
        </w:tabs>
        <w:ind w:left="720" w:hanging="720"/>
      </w:pPr>
    </w:lvl>
    <w:lvl w:ilvl="2">
      <w:start w:val="1"/>
      <w:numFmt w:val="decimal"/>
      <w:pStyle w:val="App2Number"/>
      <w:lvlText w:val="%2.%3"/>
      <w:lvlJc w:val="left"/>
      <w:pPr>
        <w:tabs>
          <w:tab w:val="num" w:pos="720"/>
        </w:tabs>
        <w:ind w:left="720" w:hanging="720"/>
      </w:pPr>
    </w:lvl>
    <w:lvl w:ilvl="3">
      <w:start w:val="1"/>
      <w:numFmt w:val="decimal"/>
      <w:pStyle w:val="App3Number"/>
      <w:lvlText w:val="%2.%3.%4"/>
      <w:lvlJc w:val="left"/>
      <w:pPr>
        <w:tabs>
          <w:tab w:val="num" w:pos="1440"/>
        </w:tabs>
        <w:ind w:left="1440" w:hanging="720"/>
      </w:pPr>
    </w:lvl>
    <w:lvl w:ilvl="4">
      <w:start w:val="1"/>
      <w:numFmt w:val="lowerLetter"/>
      <w:pStyle w:val="App4Number"/>
      <w:lvlText w:val="(%5)"/>
      <w:lvlJc w:val="left"/>
      <w:pPr>
        <w:tabs>
          <w:tab w:val="num" w:pos="2160"/>
        </w:tabs>
        <w:ind w:left="2160" w:hanging="720"/>
      </w:pPr>
    </w:lvl>
    <w:lvl w:ilvl="5">
      <w:start w:val="1"/>
      <w:numFmt w:val="lowerRoman"/>
      <w:pStyle w:val="App5Number"/>
      <w:lvlText w:val="(%6)"/>
      <w:lvlJc w:val="left"/>
      <w:pPr>
        <w:tabs>
          <w:tab w:val="num" w:pos="2880"/>
        </w:tabs>
        <w:ind w:left="2880"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15:restartNumberingAfterBreak="0">
    <w:nsid w:val="65C4C288"/>
    <w:multiLevelType w:val="multilevel"/>
    <w:tmpl w:val="00000000"/>
    <w:name w:val="Definitions"/>
    <w:lvl w:ilvl="0">
      <w:start w:val="1"/>
      <w:numFmt w:val="none"/>
      <w:pStyle w:val="Definition"/>
      <w:suff w:val="nothing"/>
      <w:lvlText w:val=""/>
      <w:lvlJc w:val="left"/>
    </w:lvl>
    <w:lvl w:ilvl="1">
      <w:start w:val="1"/>
      <w:numFmt w:val="lowerLetter"/>
      <w:pStyle w:val="Definition1"/>
      <w:lvlText w:val="(%2)"/>
      <w:lvlJc w:val="left"/>
      <w:pPr>
        <w:tabs>
          <w:tab w:val="num" w:pos="720"/>
        </w:tabs>
        <w:ind w:left="720" w:hanging="721"/>
      </w:p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15:restartNumberingAfterBreak="0">
    <w:nsid w:val="6F9CEF88"/>
    <w:multiLevelType w:val="hybridMultilevel"/>
    <w:tmpl w:val="00000000"/>
    <w:name w:val="Bullets"/>
    <w:lvl w:ilvl="0" w:tplc="FFFFFFFF">
      <w:numFmt w:val="bullet"/>
      <w:pStyle w:val="Level1Bullet"/>
      <w:lvlText w:val="•"/>
      <w:lvlJc w:val="left"/>
      <w:pPr>
        <w:tabs>
          <w:tab w:val="num" w:pos="720"/>
        </w:tabs>
        <w:ind w:left="720" w:hanging="720"/>
      </w:pPr>
    </w:lvl>
    <w:lvl w:ilvl="1" w:tplc="FFFFFFFF">
      <w:numFmt w:val="bullet"/>
      <w:pStyle w:val="Level2Bullet"/>
      <w:lvlText w:val="–"/>
      <w:lvlJc w:val="left"/>
      <w:pPr>
        <w:tabs>
          <w:tab w:val="num" w:pos="1440"/>
        </w:tabs>
        <w:ind w:left="1440" w:hanging="72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0" w15:restartNumberingAfterBreak="0">
    <w:nsid w:val="77E032A3"/>
    <w:multiLevelType w:val="multilevel"/>
    <w:tmpl w:val="00000000"/>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1" w15:restartNumberingAfterBreak="0">
    <w:nsid w:val="7B75169A"/>
    <w:multiLevelType w:val="multilevel"/>
    <w:tmpl w:val="03648FCE"/>
    <w:name w:val="ShortOutlineListTemplate"/>
    <w:styleLink w:val="ShortOutlineList"/>
    <w:lvl w:ilvl="0">
      <w:start w:val="1"/>
      <w:numFmt w:val="decimal"/>
      <w:pStyle w:val="ShortOutline1"/>
      <w:lvlText w:val="%1."/>
      <w:lvlJc w:val="left"/>
      <w:pPr>
        <w:tabs>
          <w:tab w:val="num" w:pos="720"/>
        </w:tabs>
        <w:ind w:left="720" w:hanging="720"/>
      </w:pPr>
      <w:rPr>
        <w:color w:val="000000"/>
      </w:rPr>
    </w:lvl>
    <w:lvl w:ilvl="1">
      <w:start w:val="1"/>
      <w:numFmt w:val="lowerLetter"/>
      <w:pStyle w:val="ShortOutline2"/>
      <w:lvlText w:val="(%2)"/>
      <w:lvlJc w:val="left"/>
      <w:pPr>
        <w:tabs>
          <w:tab w:val="num" w:pos="1440"/>
        </w:tabs>
        <w:ind w:left="1440" w:hanging="720"/>
      </w:pPr>
      <w:rPr>
        <w:color w:val="000000"/>
      </w:rPr>
    </w:lvl>
    <w:lvl w:ilvl="2">
      <w:start w:val="1"/>
      <w:numFmt w:val="lowerRoman"/>
      <w:pStyle w:val="ShortOutline3"/>
      <w:lvlText w:val="(%3)"/>
      <w:lvlJc w:val="left"/>
      <w:pPr>
        <w:tabs>
          <w:tab w:val="num" w:pos="2160"/>
        </w:tabs>
        <w:ind w:left="2160" w:hanging="720"/>
      </w:pPr>
      <w:rPr>
        <w:color w:val="000000"/>
      </w:rPr>
    </w:lvl>
    <w:lvl w:ilvl="3">
      <w:start w:val="1"/>
      <w:numFmt w:val="decimal"/>
      <w:pStyle w:val="ShortOutline4"/>
      <w:lvlText w:val="(%4)"/>
      <w:lvlJc w:val="left"/>
      <w:pPr>
        <w:tabs>
          <w:tab w:val="num" w:pos="2880"/>
        </w:tabs>
        <w:ind w:left="2880" w:hanging="720"/>
      </w:pPr>
      <w:rPr>
        <w:color w:val="000000"/>
      </w:rPr>
    </w:lvl>
    <w:lvl w:ilvl="4">
      <w:start w:val="1"/>
      <w:numFmt w:val="upperLetter"/>
      <w:pStyle w:val="ShortOutline5"/>
      <w:lvlText w:val="(%5)"/>
      <w:lvlJc w:val="left"/>
      <w:pPr>
        <w:tabs>
          <w:tab w:val="num" w:pos="3600"/>
        </w:tabs>
        <w:ind w:left="3600" w:hanging="720"/>
      </w:pPr>
      <w:rPr>
        <w:color w:val="000000"/>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16cid:durableId="741683038">
    <w:abstractNumId w:val="19"/>
  </w:num>
  <w:num w:numId="2" w16cid:durableId="829977986">
    <w:abstractNumId w:val="14"/>
  </w:num>
  <w:num w:numId="3" w16cid:durableId="1252160978">
    <w:abstractNumId w:val="12"/>
  </w:num>
  <w:num w:numId="4" w16cid:durableId="90905753">
    <w:abstractNumId w:val="20"/>
  </w:num>
  <w:num w:numId="5" w16cid:durableId="1915554633">
    <w:abstractNumId w:val="13"/>
  </w:num>
  <w:num w:numId="6" w16cid:durableId="767502557">
    <w:abstractNumId w:val="5"/>
  </w:num>
  <w:num w:numId="7" w16cid:durableId="742993363">
    <w:abstractNumId w:val="3"/>
  </w:num>
  <w:num w:numId="8" w16cid:durableId="287472410">
    <w:abstractNumId w:val="17"/>
  </w:num>
  <w:num w:numId="9" w16cid:durableId="114301302">
    <w:abstractNumId w:val="2"/>
  </w:num>
  <w:num w:numId="10" w16cid:durableId="816537074">
    <w:abstractNumId w:val="1"/>
  </w:num>
  <w:num w:numId="11" w16cid:durableId="836043393">
    <w:abstractNumId w:val="16"/>
  </w:num>
  <w:num w:numId="12" w16cid:durableId="750782041">
    <w:abstractNumId w:val="18"/>
  </w:num>
  <w:num w:numId="13" w16cid:durableId="621574188">
    <w:abstractNumId w:val="0"/>
  </w:num>
  <w:num w:numId="14" w16cid:durableId="1412854944">
    <w:abstractNumId w:val="9"/>
  </w:num>
  <w:num w:numId="15" w16cid:durableId="2045984924">
    <w:abstractNumId w:val="21"/>
    <w:lvlOverride w:ilvl="0">
      <w:lvl w:ilvl="0">
        <w:start w:val="1"/>
        <w:numFmt w:val="decimal"/>
        <w:pStyle w:val="ShortOutline1"/>
        <w:lvlText w:val="%1."/>
        <w:lvlJc w:val="left"/>
        <w:pPr>
          <w:tabs>
            <w:tab w:val="num" w:pos="720"/>
          </w:tabs>
          <w:ind w:left="720" w:hanging="720"/>
        </w:pPr>
        <w:rPr>
          <w:rFonts w:ascii="Times New Roman" w:hAnsi="Times New Roman" w:cs="Times New Roman" w:hint="default"/>
          <w:i w:val="0"/>
          <w:iCs w:val="0"/>
          <w:color w:val="000000"/>
          <w:sz w:val="22"/>
          <w:szCs w:val="22"/>
        </w:rPr>
      </w:lvl>
    </w:lvlOverride>
  </w:num>
  <w:num w:numId="16" w16cid:durableId="1061631373">
    <w:abstractNumId w:val="15"/>
    <w:lvlOverride w:ilvl="0">
      <w:lvl w:ilvl="0">
        <w:start w:val="1"/>
        <w:numFmt w:val="decimal"/>
        <w:lvlText w:val="%1."/>
        <w:lvlJc w:val="left"/>
        <w:pPr>
          <w:ind w:left="720" w:hanging="720"/>
        </w:pPr>
        <w:rPr>
          <w:rFonts w:hint="default"/>
          <w:b w:val="0"/>
          <w:i w:val="0"/>
          <w:u w:val="none"/>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1797" w:hanging="1077"/>
        </w:pPr>
        <w:rPr>
          <w:rFonts w:hint="default"/>
        </w:rPr>
      </w:lvl>
    </w:lvlOverride>
    <w:lvlOverride w:ilvl="3">
      <w:lvl w:ilvl="3">
        <w:start w:val="1"/>
        <w:numFmt w:val="decimal"/>
        <w:lvlText w:val="%1.%2.%3.%4."/>
        <w:lvlJc w:val="left"/>
        <w:pPr>
          <w:ind w:left="3238" w:hanging="1441"/>
        </w:pPr>
        <w:rPr>
          <w:rFonts w:hint="default"/>
        </w:rPr>
      </w:lvl>
    </w:lvlOverride>
    <w:lvlOverride w:ilvl="4">
      <w:lvl w:ilvl="4">
        <w:start w:val="1"/>
        <w:numFmt w:val="decimal"/>
        <w:lvlText w:val="%1.%2.%3.%4.%5."/>
        <w:lvlJc w:val="left"/>
        <w:pPr>
          <w:ind w:left="3238" w:hanging="1441"/>
        </w:pPr>
        <w:rPr>
          <w:rFonts w:hint="default"/>
        </w:rPr>
      </w:lvl>
    </w:lvlOverride>
    <w:lvlOverride w:ilvl="5">
      <w:lvl w:ilvl="5">
        <w:start w:val="1"/>
        <w:numFmt w:val="lowerLetter"/>
        <w:lvlText w:val="(%6)"/>
        <w:lvlJc w:val="left"/>
        <w:pPr>
          <w:ind w:left="4315" w:hanging="1077"/>
        </w:pPr>
        <w:rPr>
          <w:rFonts w:hint="default"/>
        </w:rPr>
      </w:lvl>
    </w:lvlOverride>
    <w:lvlOverride w:ilvl="6">
      <w:lvl w:ilvl="6">
        <w:start w:val="1"/>
        <w:numFmt w:val="lowerRoman"/>
        <w:lvlText w:val="(%7)"/>
        <w:lvlJc w:val="left"/>
        <w:pPr>
          <w:ind w:left="4315" w:hanging="1077"/>
        </w:pPr>
        <w:rPr>
          <w:rFonts w:hint="default"/>
        </w:rPr>
      </w:lvl>
    </w:lvlOverride>
    <w:lvlOverride w:ilvl="7">
      <w:lvl w:ilvl="7">
        <w:start w:val="1"/>
        <w:numFmt w:val="upperLetter"/>
        <w:lvlText w:val="(%8)"/>
        <w:lvlJc w:val="left"/>
        <w:pPr>
          <w:ind w:left="5392" w:hanging="1077"/>
        </w:pPr>
        <w:rPr>
          <w:rFonts w:hint="default"/>
        </w:rPr>
      </w:lvl>
    </w:lvlOverride>
    <w:lvlOverride w:ilvl="8">
      <w:lvl w:ilvl="8">
        <w:start w:val="1"/>
        <w:numFmt w:val="decimal"/>
        <w:lvlText w:val="(%9)"/>
        <w:lvlJc w:val="left"/>
        <w:pPr>
          <w:ind w:left="5392" w:hanging="1077"/>
        </w:pPr>
        <w:rPr>
          <w:rFonts w:hint="default"/>
        </w:rPr>
      </w:lvl>
    </w:lvlOverride>
  </w:num>
  <w:num w:numId="17" w16cid:durableId="1751347540">
    <w:abstractNumId w:val="7"/>
  </w:num>
  <w:num w:numId="18" w16cid:durableId="527917247">
    <w:abstractNumId w:val="10"/>
  </w:num>
  <w:num w:numId="19" w16cid:durableId="754670180">
    <w:abstractNumId w:val="15"/>
  </w:num>
  <w:num w:numId="20" w16cid:durableId="323896482">
    <w:abstractNumId w:val="6"/>
  </w:num>
  <w:num w:numId="21" w16cid:durableId="1538740046">
    <w:abstractNumId w:val="4"/>
  </w:num>
  <w:num w:numId="22" w16cid:durableId="548229059">
    <w:abstractNumId w:val="11"/>
  </w:num>
  <w:num w:numId="23" w16cid:durableId="879898617">
    <w:abstractNumId w:val="21"/>
    <w:lvlOverride w:ilvl="0">
      <w:lvl w:ilvl="0">
        <w:start w:val="1"/>
        <w:numFmt w:val="decimal"/>
        <w:pStyle w:val="ShortOutline1"/>
        <w:lvlText w:val="%1."/>
        <w:lvlJc w:val="left"/>
        <w:pPr>
          <w:tabs>
            <w:tab w:val="num" w:pos="720"/>
          </w:tabs>
          <w:ind w:left="720" w:hanging="720"/>
        </w:pPr>
        <w:rPr>
          <w:rFonts w:ascii="Times New Roman" w:hAnsi="Times New Roman" w:cs="Times New Roman" w:hint="default"/>
          <w:i w:val="0"/>
          <w:iCs w:val="0"/>
          <w:color w:val="000000"/>
          <w:sz w:val="22"/>
          <w:szCs w:val="22"/>
        </w:rPr>
      </w:lvl>
    </w:lvlOverride>
  </w:num>
  <w:num w:numId="24" w16cid:durableId="22623507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CF1C77"/>
    <w:rsid w:val="0001417C"/>
    <w:rsid w:val="000160D2"/>
    <w:rsid w:val="00031EA5"/>
    <w:rsid w:val="000418C9"/>
    <w:rsid w:val="000631A6"/>
    <w:rsid w:val="000A370E"/>
    <w:rsid w:val="000B13C9"/>
    <w:rsid w:val="000C0106"/>
    <w:rsid w:val="000F18DC"/>
    <w:rsid w:val="000F43C3"/>
    <w:rsid w:val="0010105F"/>
    <w:rsid w:val="00182023"/>
    <w:rsid w:val="00184F96"/>
    <w:rsid w:val="00191CC4"/>
    <w:rsid w:val="00195AC0"/>
    <w:rsid w:val="001C50AC"/>
    <w:rsid w:val="001F567E"/>
    <w:rsid w:val="002A0B96"/>
    <w:rsid w:val="002A0C6F"/>
    <w:rsid w:val="002A5A3D"/>
    <w:rsid w:val="002C38E2"/>
    <w:rsid w:val="002E5D99"/>
    <w:rsid w:val="00336DB9"/>
    <w:rsid w:val="0035038D"/>
    <w:rsid w:val="003644FB"/>
    <w:rsid w:val="003E2159"/>
    <w:rsid w:val="004151F8"/>
    <w:rsid w:val="004653A6"/>
    <w:rsid w:val="00470826"/>
    <w:rsid w:val="00470FAC"/>
    <w:rsid w:val="00474A0A"/>
    <w:rsid w:val="004A281E"/>
    <w:rsid w:val="004F73F9"/>
    <w:rsid w:val="00506898"/>
    <w:rsid w:val="0051766C"/>
    <w:rsid w:val="00553D01"/>
    <w:rsid w:val="00565402"/>
    <w:rsid w:val="00581773"/>
    <w:rsid w:val="00596CDB"/>
    <w:rsid w:val="005A35C7"/>
    <w:rsid w:val="005B5D72"/>
    <w:rsid w:val="005C390F"/>
    <w:rsid w:val="005E3926"/>
    <w:rsid w:val="005F0C27"/>
    <w:rsid w:val="00606984"/>
    <w:rsid w:val="00652C78"/>
    <w:rsid w:val="006704C6"/>
    <w:rsid w:val="006911A2"/>
    <w:rsid w:val="006F68FF"/>
    <w:rsid w:val="00714AF1"/>
    <w:rsid w:val="00770A86"/>
    <w:rsid w:val="0079233E"/>
    <w:rsid w:val="007A3241"/>
    <w:rsid w:val="007A6802"/>
    <w:rsid w:val="007C70CB"/>
    <w:rsid w:val="007E6DD8"/>
    <w:rsid w:val="008137C5"/>
    <w:rsid w:val="00826CF7"/>
    <w:rsid w:val="008342A9"/>
    <w:rsid w:val="00840798"/>
    <w:rsid w:val="008A5F79"/>
    <w:rsid w:val="008B235C"/>
    <w:rsid w:val="008B5382"/>
    <w:rsid w:val="008C515F"/>
    <w:rsid w:val="008D3F84"/>
    <w:rsid w:val="008F6BFF"/>
    <w:rsid w:val="00904483"/>
    <w:rsid w:val="00912086"/>
    <w:rsid w:val="00945AC8"/>
    <w:rsid w:val="00955681"/>
    <w:rsid w:val="009C5F63"/>
    <w:rsid w:val="009D3358"/>
    <w:rsid w:val="009D75E3"/>
    <w:rsid w:val="009E406D"/>
    <w:rsid w:val="00A05FB1"/>
    <w:rsid w:val="00A146BC"/>
    <w:rsid w:val="00A342BD"/>
    <w:rsid w:val="00A57FF4"/>
    <w:rsid w:val="00A744BA"/>
    <w:rsid w:val="00A87239"/>
    <w:rsid w:val="00AC5FC0"/>
    <w:rsid w:val="00AF4B28"/>
    <w:rsid w:val="00B043CA"/>
    <w:rsid w:val="00B51353"/>
    <w:rsid w:val="00B51BC3"/>
    <w:rsid w:val="00B70DEB"/>
    <w:rsid w:val="00B767B3"/>
    <w:rsid w:val="00B85E63"/>
    <w:rsid w:val="00B97FC8"/>
    <w:rsid w:val="00BD7648"/>
    <w:rsid w:val="00BE0BEF"/>
    <w:rsid w:val="00BF7F09"/>
    <w:rsid w:val="00C11FA0"/>
    <w:rsid w:val="00C14120"/>
    <w:rsid w:val="00C31EB8"/>
    <w:rsid w:val="00C325A6"/>
    <w:rsid w:val="00C35BB6"/>
    <w:rsid w:val="00C41777"/>
    <w:rsid w:val="00C4297B"/>
    <w:rsid w:val="00C53D73"/>
    <w:rsid w:val="00C83102"/>
    <w:rsid w:val="00CA3B6E"/>
    <w:rsid w:val="00CB794D"/>
    <w:rsid w:val="00CF1C77"/>
    <w:rsid w:val="00D35BE3"/>
    <w:rsid w:val="00D422E2"/>
    <w:rsid w:val="00D71144"/>
    <w:rsid w:val="00DA04B9"/>
    <w:rsid w:val="00DB0D66"/>
    <w:rsid w:val="00DB2716"/>
    <w:rsid w:val="00DD4554"/>
    <w:rsid w:val="00E2199E"/>
    <w:rsid w:val="00E551E5"/>
    <w:rsid w:val="00E86941"/>
    <w:rsid w:val="00E90DB7"/>
    <w:rsid w:val="00E91940"/>
    <w:rsid w:val="00EA5936"/>
    <w:rsid w:val="00EA6E4B"/>
    <w:rsid w:val="00EB65BA"/>
    <w:rsid w:val="00EF09EF"/>
    <w:rsid w:val="00F14574"/>
    <w:rsid w:val="00F43861"/>
    <w:rsid w:val="00F57D2C"/>
    <w:rsid w:val="00F75976"/>
    <w:rsid w:val="00FE7C6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3EFF"/>
  <w15:chartTrackingRefBased/>
  <w15:docId w15:val="{23DAF8EB-CDAD-4335-8811-7023455E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3CA"/>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BodyText"/>
    <w:next w:val="BodyText"/>
    <w:qFormat/>
    <w:pPr>
      <w:keepNext/>
      <w:spacing w:before="240"/>
      <w:outlineLvl w:val="0"/>
    </w:pPr>
    <w:rPr>
      <w:b/>
    </w:rPr>
  </w:style>
  <w:style w:type="paragraph" w:styleId="Heading2">
    <w:name w:val="heading 2"/>
    <w:basedOn w:val="BodyText"/>
    <w:next w:val="BodyText"/>
    <w:qFormat/>
    <w:pPr>
      <w:keepNext/>
      <w:spacing w:before="240"/>
      <w:outlineLvl w:val="1"/>
    </w:pPr>
    <w:rPr>
      <w:sz w:val="26"/>
      <w:szCs w:val="26"/>
    </w:rPr>
  </w:style>
  <w:style w:type="paragraph" w:styleId="Heading3">
    <w:name w:val="heading 3"/>
    <w:basedOn w:val="BodyText"/>
    <w:next w:val="BodyText"/>
    <w:qFormat/>
    <w:pPr>
      <w:keepNext/>
      <w:spacing w:before="240"/>
      <w:outlineLvl w:val="2"/>
    </w:pPr>
    <w:rPr>
      <w:sz w:val="26"/>
      <w:szCs w:val="26"/>
    </w:rPr>
  </w:style>
  <w:style w:type="paragraph" w:styleId="Heading4">
    <w:name w:val="heading 4"/>
    <w:basedOn w:val="BodyText"/>
    <w:next w:val="BodyText"/>
    <w:qFormat/>
    <w:pPr>
      <w:keepNext/>
      <w:spacing w:before="240"/>
      <w:outlineLvl w:val="3"/>
    </w:pPr>
    <w:rPr>
      <w:sz w:val="26"/>
      <w:szCs w:val="26"/>
    </w:rPr>
  </w:style>
  <w:style w:type="character" w:default="1" w:styleId="DefaultParagraphFont">
    <w:name w:val="Default Paragraph Font"/>
    <w:uiPriority w:val="1"/>
    <w:semiHidden/>
    <w:unhideWhenUsed/>
    <w:rsid w:val="00B043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43CA"/>
  </w:style>
  <w:style w:type="character" w:customStyle="1" w:styleId="BodyTextChar">
    <w:name w:val="Body Text Char"/>
    <w:link w:val="BodyText"/>
    <w:hidden/>
    <w:locked/>
    <w:rPr>
      <w:rFonts w:ascii="Arial" w:hAnsi="Arial"/>
    </w:rPr>
  </w:style>
  <w:style w:type="character" w:customStyle="1" w:styleId="xref">
    <w:name w:val="*xref"/>
    <w:basedOn w:val="BodyTextChar"/>
    <w:rPr>
      <w:rFonts w:ascii="Arial" w:hAnsi="Arial"/>
    </w:rPr>
  </w:style>
  <w:style w:type="character" w:customStyle="1" w:styleId="BodyDefinitionTerm">
    <w:name w:val="Body Definition Term"/>
    <w:basedOn w:val="BodyTextChar"/>
    <w:rPr>
      <w:rFonts w:ascii="Arial" w:hAnsi="Arial"/>
    </w:rPr>
  </w:style>
  <w:style w:type="character" w:customStyle="1" w:styleId="Capitals">
    <w:name w:val="Capitals"/>
    <w:rPr>
      <w:rFonts w:ascii="Arial" w:hAnsi="Arial"/>
      <w:caps/>
    </w:rPr>
  </w:style>
  <w:style w:type="character" w:customStyle="1" w:styleId="DefinitionTerm">
    <w:name w:val="Definition Term"/>
    <w:rPr>
      <w:rFonts w:ascii="Arial" w:hAnsi="Arial"/>
      <w:b/>
    </w:rPr>
  </w:style>
  <w:style w:type="character" w:styleId="Emphasis">
    <w:name w:val="Emphasis"/>
    <w:qFormat/>
    <w:rPr>
      <w:rFonts w:ascii="Arial" w:hAnsi="Arial"/>
      <w:i/>
    </w:rPr>
  </w:style>
  <w:style w:type="character" w:styleId="Hyperlink">
    <w:name w:val="Hyperlink"/>
    <w:rPr>
      <w:rFonts w:ascii="Arial" w:hAnsi="Arial"/>
      <w:color w:val="0000FF"/>
      <w:u w:val="single"/>
    </w:rPr>
  </w:style>
  <w:style w:type="character" w:customStyle="1" w:styleId="InlineDefinition">
    <w:name w:val="Inline Definition"/>
    <w:basedOn w:val="BodyTextChar"/>
    <w:rPr>
      <w:rFonts w:ascii="Arial" w:hAnsi="Arial"/>
    </w:rPr>
  </w:style>
  <w:style w:type="character" w:customStyle="1" w:styleId="InlineDefinitionTerm">
    <w:name w:val="Inline Definition Term"/>
    <w:rPr>
      <w:rFonts w:ascii="Arial" w:hAnsi="Arial"/>
      <w:b/>
    </w:rPr>
  </w:style>
  <w:style w:type="character" w:customStyle="1" w:styleId="IntenseCapitals">
    <w:name w:val="Intense Capitals"/>
    <w:rPr>
      <w:rFonts w:ascii="Arial" w:hAnsi="Arial"/>
      <w:b/>
      <w:caps/>
    </w:rPr>
  </w:style>
  <w:style w:type="character" w:styleId="IntenseEmphasis">
    <w:name w:val="Intense Emphasis"/>
    <w:qFormat/>
    <w:rPr>
      <w:rFonts w:ascii="Arial" w:hAnsi="Arial" w:cs="Arial"/>
      <w:b/>
      <w:i/>
    </w:rPr>
  </w:style>
  <w:style w:type="character" w:customStyle="1" w:styleId="UnderlineStrong">
    <w:name w:val="UnderlineStrong"/>
    <w:rPr>
      <w:b/>
      <w:u w:val="single"/>
    </w:rPr>
  </w:style>
  <w:style w:type="character" w:customStyle="1" w:styleId="UnderlineEmphasis">
    <w:name w:val="UnderlineEmphasis"/>
    <w:rPr>
      <w:i/>
      <w:u w:val="single"/>
    </w:rPr>
  </w:style>
  <w:style w:type="character" w:customStyle="1" w:styleId="StrongIntenseUnderline">
    <w:name w:val="StrongIntenseUnderline"/>
    <w:rPr>
      <w:b/>
      <w:i/>
      <w:u w:val="single"/>
    </w:rPr>
  </w:style>
  <w:style w:type="character" w:customStyle="1" w:styleId="InsertText">
    <w:name w:val="Insert Text"/>
    <w:rPr>
      <w:rFonts w:ascii="Arial" w:hAnsi="Arial" w:cs="Arial"/>
      <w:i/>
    </w:rPr>
  </w:style>
  <w:style w:type="character" w:customStyle="1" w:styleId="OptionalText">
    <w:name w:val="Optional Text"/>
    <w:rPr>
      <w:rFonts w:ascii="Arial" w:hAnsi="Arial" w:cs="Arial"/>
    </w:rPr>
  </w:style>
  <w:style w:type="character" w:customStyle="1" w:styleId="AlternativeText">
    <w:name w:val="Alternative Text"/>
    <w:rPr>
      <w:rFonts w:ascii="Arial" w:hAnsi="Arial" w:cs="Arial"/>
    </w:rPr>
  </w:style>
  <w:style w:type="character" w:styleId="PageNumber">
    <w:name w:val="page number"/>
    <w:basedOn w:val="DefaultParagraphFont"/>
    <w:rsid w:val="004A281E"/>
  </w:style>
  <w:style w:type="character" w:customStyle="1" w:styleId="Strike">
    <w:name w:val="Strike"/>
    <w:rPr>
      <w:rFonts w:ascii="Arial" w:hAnsi="Arial"/>
      <w:strike/>
    </w:rPr>
  </w:style>
  <w:style w:type="character" w:styleId="Strong">
    <w:name w:val="Strong"/>
    <w:qFormat/>
    <w:rPr>
      <w:rFonts w:ascii="Arial" w:hAnsi="Arial"/>
      <w:b/>
    </w:rPr>
  </w:style>
  <w:style w:type="character" w:customStyle="1" w:styleId="Subscript">
    <w:name w:val="Subscript"/>
    <w:rPr>
      <w:rFonts w:ascii="Arial" w:hAnsi="Arial"/>
      <w:vertAlign w:val="subscript"/>
    </w:rPr>
  </w:style>
  <w:style w:type="character" w:customStyle="1" w:styleId="Superscript">
    <w:name w:val="Superscript"/>
    <w:rPr>
      <w:rFonts w:ascii="Arial" w:hAnsi="Arial"/>
      <w:vertAlign w:val="superscript"/>
    </w:rPr>
  </w:style>
  <w:style w:type="character" w:customStyle="1" w:styleId="Underline">
    <w:name w:val="Underline"/>
    <w:rPr>
      <w:rFonts w:ascii="Arial" w:hAnsi="Arial"/>
      <w:u w:val="single"/>
    </w:rPr>
  </w:style>
  <w:style w:type="paragraph" w:customStyle="1" w:styleId="TermsInTable">
    <w:name w:val="Terms In Table"/>
    <w:basedOn w:val="BodyText"/>
    <w:pPr>
      <w:jc w:val="left"/>
    </w:pPr>
  </w:style>
  <w:style w:type="character" w:customStyle="1" w:styleId="AlternativeTextDelim">
    <w:name w:val="AlternativeTextDelim"/>
  </w:style>
  <w:style w:type="character" w:customStyle="1" w:styleId="InsertTextDelim">
    <w:name w:val="InsertTextDelim"/>
  </w:style>
  <w:style w:type="character" w:customStyle="1" w:styleId="OptionalTextDelim">
    <w:name w:val="OptionalTextDelim"/>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numPr>
        <w:numId w:val="13"/>
      </w:numPr>
      <w:tabs>
        <w:tab w:val="left" w:pos="3119"/>
      </w:tabs>
      <w:spacing w:before="240"/>
      <w:ind w:left="3119" w:hanging="567"/>
      <w:jc w:val="left"/>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pPr>
      <w:numPr>
        <w:numId w:val="3"/>
      </w:numPr>
    </w:p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pPr>
      <w:keepNext/>
      <w:spacing w:before="240"/>
      <w:outlineLvl w:val="1"/>
    </w:pPr>
    <w:rPr>
      <w:b/>
      <w:caps/>
    </w:rPr>
  </w:style>
  <w:style w:type="paragraph" w:customStyle="1" w:styleId="Background1">
    <w:name w:val="Background 1"/>
    <w:basedOn w:val="BodyText1"/>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link w:val="BodyTextChar"/>
    <w:pPr>
      <w:spacing w:after="240" w:line="276" w:lineRule="auto"/>
      <w:jc w:val="both"/>
    </w:p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ind w:left="1440"/>
    </w:pPr>
  </w:style>
  <w:style w:type="paragraph" w:customStyle="1" w:styleId="BodyText4">
    <w:name w:val="Body Text 4"/>
    <w:basedOn w:val="BodyText"/>
    <w:pPr>
      <w:spacing w:after="60"/>
      <w:ind w:left="2160"/>
    </w:pPr>
  </w:style>
  <w:style w:type="paragraph" w:customStyle="1" w:styleId="BodyText5">
    <w:name w:val="Body Text 5"/>
    <w:basedOn w:val="BodyText"/>
    <w:pPr>
      <w:spacing w:after="60"/>
      <w:ind w:left="2800"/>
    </w:pPr>
  </w:style>
  <w:style w:type="paragraph" w:customStyle="1" w:styleId="BodyText6">
    <w:name w:val="Body Text 6"/>
    <w:basedOn w:val="BodyText"/>
    <w:pPr>
      <w:spacing w:after="60"/>
      <w:ind w:left="2880"/>
    </w:pPr>
  </w:style>
  <w:style w:type="paragraph" w:customStyle="1" w:styleId="BodyText7">
    <w:name w:val="Body Text 7"/>
    <w:basedOn w:val="BodyText"/>
    <w:pPr>
      <w:spacing w:after="60"/>
      <w:ind w:left="2880"/>
    </w:pPr>
  </w:style>
  <w:style w:type="paragraph" w:customStyle="1" w:styleId="BodyText8">
    <w:name w:val="Body Text 8"/>
    <w:basedOn w:val="BodyText"/>
    <w:pPr>
      <w:spacing w:after="60"/>
      <w:ind w:left="2880"/>
    </w:pPr>
  </w:style>
  <w:style w:type="paragraph" w:customStyle="1" w:styleId="BodyText9">
    <w:name w:val="Body Text 9"/>
    <w:basedOn w:val="BodyText"/>
    <w:pPr>
      <w:spacing w:after="60"/>
      <w:ind w:left="2880"/>
    </w:pPr>
  </w:style>
  <w:style w:type="paragraph" w:customStyle="1" w:styleId="DraftingNoteHeading">
    <w:name w:val="Drafting Note Heading"/>
    <w:basedOn w:val="BodyText"/>
    <w:pPr>
      <w:jc w:val="left"/>
    </w:pPr>
    <w:rPr>
      <w:b/>
      <w:color w:val="0000FF"/>
    </w:rPr>
  </w:style>
  <w:style w:type="paragraph" w:customStyle="1" w:styleId="DraftingNote">
    <w:name w:val="Drafting Note"/>
    <w:basedOn w:val="BodyText"/>
    <w:pPr>
      <w:numPr>
        <w:numId w:val="14"/>
      </w:numPr>
      <w:jc w:val="left"/>
    </w:pPr>
    <w:rPr>
      <w:color w:val="0000FF"/>
    </w:rPr>
  </w:style>
  <w:style w:type="paragraph" w:customStyle="1" w:styleId="DraftingNote1">
    <w:name w:val="Drafting Note1"/>
    <w:basedOn w:val="BodyText"/>
    <w:pPr>
      <w:ind w:left="720"/>
      <w:jc w:val="left"/>
    </w:pPr>
    <w:rPr>
      <w:color w:val="0000FF"/>
    </w:rPr>
  </w:style>
  <w:style w:type="paragraph" w:customStyle="1" w:styleId="DraftingNote2">
    <w:name w:val="Drafting Note2"/>
    <w:basedOn w:val="BodyText"/>
    <w:pPr>
      <w:ind w:left="1441"/>
      <w:jc w:val="left"/>
    </w:pPr>
    <w:rPr>
      <w:color w:val="0000FF"/>
    </w:rPr>
  </w:style>
  <w:style w:type="paragraph" w:customStyle="1" w:styleId="DraftingNoteList1">
    <w:name w:val="Drafting Note List 1"/>
    <w:basedOn w:val="BodyText"/>
    <w:pPr>
      <w:numPr>
        <w:ilvl w:val="1"/>
        <w:numId w:val="14"/>
      </w:numPr>
      <w:jc w:val="left"/>
    </w:pPr>
    <w:rPr>
      <w:color w:val="0000FF"/>
    </w:rPr>
  </w:style>
  <w:style w:type="paragraph" w:customStyle="1" w:styleId="DraftingNoteList2">
    <w:name w:val="Drafting Note List 2"/>
    <w:basedOn w:val="BodyText"/>
    <w:pPr>
      <w:numPr>
        <w:ilvl w:val="2"/>
        <w:numId w:val="14"/>
      </w:numPr>
      <w:jc w:val="left"/>
    </w:pPr>
    <w:rPr>
      <w:color w:val="0000FF"/>
    </w:rPr>
  </w:style>
  <w:style w:type="paragraph" w:customStyle="1" w:styleId="DraftingNoteList3">
    <w:name w:val="Drafting Note List 3"/>
    <w:basedOn w:val="BodyText"/>
    <w:pPr>
      <w:numPr>
        <w:ilvl w:val="3"/>
        <w:numId w:val="14"/>
      </w:numPr>
      <w:jc w:val="left"/>
    </w:pPr>
    <w:rPr>
      <w:color w:val="0000FF"/>
    </w:rPr>
  </w:style>
  <w:style w:type="paragraph" w:customStyle="1" w:styleId="DraftingNoteList4">
    <w:name w:val="Drafting Note List 4"/>
    <w:basedOn w:val="BodyText"/>
    <w:pPr>
      <w:numPr>
        <w:ilvl w:val="4"/>
        <w:numId w:val="14"/>
      </w:numPr>
      <w:jc w:val="left"/>
    </w:pPr>
    <w:rPr>
      <w:color w:val="0000FF"/>
    </w:rPr>
  </w:style>
  <w:style w:type="paragraph" w:customStyle="1" w:styleId="DraftingNoteList5">
    <w:name w:val="Drafting Note List 5"/>
    <w:basedOn w:val="BodyText"/>
    <w:pPr>
      <w:numPr>
        <w:ilvl w:val="5"/>
        <w:numId w:val="14"/>
      </w:numPr>
      <w:jc w:val="left"/>
    </w:pPr>
    <w:rPr>
      <w:color w:val="0000FF"/>
    </w:r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tabs>
        <w:tab w:val="num" w:pos="1440"/>
      </w:tabs>
      <w:ind w:hanging="720"/>
    </w:pPr>
  </w:style>
  <w:style w:type="paragraph" w:customStyle="1" w:styleId="ChapterHeader">
    <w:name w:val="Chapter Header"/>
    <w:basedOn w:val="BodyText"/>
    <w:pPr>
      <w:keepNext/>
      <w:pageBreakBefore/>
      <w:tabs>
        <w:tab w:val="num" w:pos="720"/>
      </w:tabs>
      <w:spacing w:before="240"/>
      <w:outlineLvl w:val="0"/>
    </w:pPr>
    <w:rPr>
      <w:b/>
      <w:color w:val="4B4B4B"/>
      <w:sz w:val="32"/>
      <w:szCs w:val="32"/>
    </w:rPr>
  </w:style>
  <w:style w:type="paragraph" w:customStyle="1" w:styleId="Level1Heading">
    <w:name w:val="Level 1 Heading"/>
    <w:basedOn w:val="Level1Number"/>
    <w:uiPriority w:val="9"/>
    <w:qFormat/>
    <w:pPr>
      <w:keepNext/>
    </w:pPr>
    <w:rPr>
      <w:b/>
    </w:rPr>
  </w:style>
  <w:style w:type="paragraph" w:customStyle="1" w:styleId="Level1HeadingNested">
    <w:name w:val="Level 1 Heading Nested"/>
    <w:basedOn w:val="Level1Heading"/>
  </w:style>
  <w:style w:type="paragraph" w:customStyle="1" w:styleId="Level2Heading">
    <w:name w:val="Level 2 Heading"/>
    <w:basedOn w:val="Level2Number"/>
    <w:next w:val="Level2Number"/>
    <w:pPr>
      <w:keepNext/>
      <w:outlineLvl w:val="3"/>
    </w:pPr>
    <w:rPr>
      <w:b/>
    </w:rPr>
  </w:style>
  <w:style w:type="paragraph" w:customStyle="1" w:styleId="Level2HeadingNested">
    <w:name w:val="Level 2 Heading Nested"/>
    <w:basedOn w:val="Level2Heading"/>
  </w:style>
  <w:style w:type="paragraph" w:customStyle="1" w:styleId="Level3Heading">
    <w:name w:val="Level 3 Heading"/>
    <w:basedOn w:val="Level3Number"/>
    <w:pPr>
      <w:keepNext/>
      <w:outlineLvl w:val="4"/>
    </w:pPr>
    <w:rPr>
      <w:b/>
    </w:rPr>
  </w:style>
  <w:style w:type="paragraph" w:customStyle="1" w:styleId="Level3HeadingNested">
    <w:name w:val="Level 3 Heading Nested"/>
    <w:basedOn w:val="Level3Heading"/>
  </w:style>
  <w:style w:type="paragraph" w:customStyle="1" w:styleId="Level4Heading">
    <w:name w:val="Level 4 Heading"/>
    <w:basedOn w:val="Level4Number"/>
    <w:pPr>
      <w:keepNext/>
      <w:outlineLvl w:val="5"/>
    </w:pPr>
    <w:rPr>
      <w:b/>
    </w:rPr>
  </w:style>
  <w:style w:type="paragraph" w:customStyle="1" w:styleId="Level4HeadingNested">
    <w:name w:val="Level 4 Heading Nested"/>
    <w:basedOn w:val="Level4Heading"/>
  </w:style>
  <w:style w:type="paragraph" w:customStyle="1" w:styleId="Level5Heading">
    <w:name w:val="Level 5 Heading"/>
    <w:basedOn w:val="Level5Number"/>
    <w:pPr>
      <w:keepNext/>
      <w:outlineLvl w:val="6"/>
    </w:pPr>
    <w:rPr>
      <w:b/>
    </w:rPr>
  </w:style>
  <w:style w:type="paragraph" w:customStyle="1" w:styleId="LRLevel1Heading">
    <w:name w:val="LRLevel 1 Heading"/>
    <w:basedOn w:val="BodyText1"/>
    <w:pPr>
      <w:keepNext/>
      <w:tabs>
        <w:tab w:val="num" w:pos="720"/>
      </w:tabs>
      <w:ind w:hanging="720"/>
      <w:outlineLvl w:val="2"/>
    </w:pPr>
    <w:rPr>
      <w:b/>
    </w:rPr>
  </w:style>
  <w:style w:type="paragraph" w:customStyle="1" w:styleId="LRLevel2Heading">
    <w:name w:val="LRLevel 2 Heading"/>
    <w:basedOn w:val="BodyText1"/>
    <w:next w:val="Level2Number"/>
    <w:pPr>
      <w:keepNext/>
      <w:tabs>
        <w:tab w:val="num" w:pos="720"/>
      </w:tabs>
      <w:ind w:hanging="720"/>
      <w:outlineLvl w:val="3"/>
    </w:pPr>
    <w:rPr>
      <w:b/>
    </w:rPr>
  </w:style>
  <w:style w:type="paragraph" w:customStyle="1" w:styleId="LRLevel3Heading">
    <w:name w:val="LRLevel 3 Heading"/>
    <w:basedOn w:val="BodyText1"/>
    <w:pPr>
      <w:keepNext/>
      <w:tabs>
        <w:tab w:val="num" w:pos="720"/>
      </w:tabs>
      <w:ind w:left="1440" w:hanging="720"/>
      <w:outlineLvl w:val="4"/>
    </w:pPr>
    <w:rPr>
      <w:b/>
    </w:rPr>
  </w:style>
  <w:style w:type="paragraph" w:customStyle="1" w:styleId="LRLevel4Heading">
    <w:name w:val="LRLevel 4 Heading"/>
    <w:basedOn w:val="BodyText1"/>
    <w:pPr>
      <w:keepNext/>
      <w:tabs>
        <w:tab w:val="num" w:pos="1440"/>
      </w:tabs>
      <w:ind w:left="2160" w:hanging="720"/>
      <w:outlineLvl w:val="5"/>
    </w:pPr>
    <w:rPr>
      <w:b/>
    </w:rPr>
  </w:style>
  <w:style w:type="paragraph" w:customStyle="1" w:styleId="LRLevel5Heading">
    <w:name w:val="LRLevel 5 Heading"/>
    <w:basedOn w:val="BodyText1"/>
    <w:pPr>
      <w:keepNext/>
      <w:tabs>
        <w:tab w:val="num" w:pos="1440"/>
      </w:tabs>
      <w:ind w:left="2880" w:hanging="720"/>
      <w:outlineLvl w:val="5"/>
    </w:pPr>
    <w:rPr>
      <w:b/>
    </w:rPr>
  </w:style>
  <w:style w:type="paragraph" w:customStyle="1" w:styleId="Level1Number">
    <w:name w:val="Level 1 Number"/>
    <w:basedOn w:val="BodyText"/>
    <w:uiPriority w:val="9"/>
    <w:qFormat/>
    <w:pPr>
      <w:numPr>
        <w:numId w:val="4"/>
      </w:numPr>
      <w:outlineLvl w:val="2"/>
    </w:pPr>
  </w:style>
  <w:style w:type="paragraph" w:customStyle="1" w:styleId="Level1NumberNested">
    <w:name w:val="Level 1 Number Nested"/>
    <w:basedOn w:val="Level1Number"/>
  </w:style>
  <w:style w:type="paragraph" w:customStyle="1" w:styleId="Level2Number">
    <w:name w:val="Level 2 Number"/>
    <w:basedOn w:val="BodyText2"/>
    <w:uiPriority w:val="9"/>
    <w:qFormat/>
    <w:pPr>
      <w:numPr>
        <w:ilvl w:val="1"/>
        <w:numId w:val="4"/>
      </w:numPr>
    </w:pPr>
  </w:style>
  <w:style w:type="paragraph" w:customStyle="1" w:styleId="Level2NumberNested">
    <w:name w:val="Level 2 Number Nested"/>
    <w:basedOn w:val="Level2Number"/>
  </w:style>
  <w:style w:type="paragraph" w:customStyle="1" w:styleId="Level3Number">
    <w:name w:val="Level 3 Number"/>
    <w:basedOn w:val="BodyText3"/>
    <w:uiPriority w:val="9"/>
    <w:qFormat/>
    <w:pPr>
      <w:numPr>
        <w:ilvl w:val="2"/>
        <w:numId w:val="4"/>
      </w:numPr>
    </w:pPr>
  </w:style>
  <w:style w:type="paragraph" w:customStyle="1" w:styleId="Level3NumberNested">
    <w:name w:val="Level 3 Number Nested"/>
    <w:basedOn w:val="Level3Number"/>
  </w:style>
  <w:style w:type="paragraph" w:customStyle="1" w:styleId="Level4Number">
    <w:name w:val="Level 4 Number"/>
    <w:basedOn w:val="BodyText4"/>
    <w:uiPriority w:val="9"/>
    <w:qFormat/>
    <w:pPr>
      <w:numPr>
        <w:ilvl w:val="3"/>
        <w:numId w:val="4"/>
      </w:numPr>
    </w:pPr>
  </w:style>
  <w:style w:type="paragraph" w:customStyle="1" w:styleId="Level4NumberNested">
    <w:name w:val="Level 4 Number Nested"/>
    <w:basedOn w:val="Level4Number"/>
  </w:style>
  <w:style w:type="paragraph" w:customStyle="1" w:styleId="Level5Number">
    <w:name w:val="Level 5 Number"/>
    <w:basedOn w:val="BodyText5"/>
    <w:uiPriority w:val="9"/>
    <w:qFormat/>
    <w:pPr>
      <w:numPr>
        <w:ilvl w:val="4"/>
        <w:numId w:val="4"/>
      </w:numPr>
    </w:pPr>
  </w:style>
  <w:style w:type="paragraph" w:customStyle="1" w:styleId="Level5NumberNested">
    <w:name w:val="Level 5 Number Nested"/>
    <w:basedOn w:val="Level5Number"/>
  </w:style>
  <w:style w:type="paragraph" w:customStyle="1" w:styleId="Level6Number">
    <w:name w:val="Level 6 Number"/>
    <w:basedOn w:val="BodyText6"/>
    <w:uiPriority w:val="9"/>
    <w:pPr>
      <w:numPr>
        <w:ilvl w:val="5"/>
        <w:numId w:val="4"/>
      </w:numPr>
    </w:pPr>
  </w:style>
  <w:style w:type="paragraph" w:customStyle="1" w:styleId="Level6NumberNested">
    <w:name w:val="Level 6 Number Nested"/>
    <w:basedOn w:val="Level6Number"/>
  </w:style>
  <w:style w:type="paragraph" w:customStyle="1" w:styleId="Level7Number">
    <w:name w:val="Level 7 Number"/>
    <w:basedOn w:val="BodyText7"/>
    <w:uiPriority w:val="9"/>
    <w:pPr>
      <w:numPr>
        <w:ilvl w:val="6"/>
        <w:numId w:val="4"/>
      </w:numPr>
    </w:pPr>
  </w:style>
  <w:style w:type="paragraph" w:customStyle="1" w:styleId="Level7NumberNested">
    <w:name w:val="Level 7 Number Nested"/>
    <w:basedOn w:val="Level7Number"/>
  </w:style>
  <w:style w:type="paragraph" w:customStyle="1" w:styleId="Level8Number">
    <w:name w:val="Level 8 Number"/>
    <w:basedOn w:val="BodyText8"/>
    <w:uiPriority w:val="9"/>
  </w:style>
  <w:style w:type="paragraph" w:customStyle="1" w:styleId="Level8NumberNested">
    <w:name w:val="Level 8 Number Nested"/>
    <w:basedOn w:val="Level8Number"/>
  </w:style>
  <w:style w:type="paragraph" w:customStyle="1" w:styleId="Level9Number">
    <w:name w:val="Level 9 Number"/>
    <w:basedOn w:val="BodyText9"/>
    <w:uiPriority w:val="9"/>
  </w:style>
  <w:style w:type="paragraph" w:customStyle="1" w:styleId="Level9NumberNested">
    <w:name w:val="Level 9 Number Nested"/>
    <w:basedOn w:val="Level9Number"/>
  </w:style>
  <w:style w:type="paragraph" w:customStyle="1" w:styleId="LRLevel1Number">
    <w:name w:val="LRLevel 1 Number"/>
    <w:basedOn w:val="BodyText1"/>
    <w:pPr>
      <w:tabs>
        <w:tab w:val="num" w:pos="720"/>
      </w:tabs>
      <w:ind w:hanging="720"/>
    </w:pPr>
  </w:style>
  <w:style w:type="paragraph" w:customStyle="1" w:styleId="LRLevel2Number">
    <w:name w:val="LRLevel 2 Number"/>
    <w:basedOn w:val="BodyText1"/>
    <w:pPr>
      <w:tabs>
        <w:tab w:val="num" w:pos="720"/>
      </w:tabs>
      <w:ind w:hanging="720"/>
    </w:pPr>
  </w:style>
  <w:style w:type="paragraph" w:customStyle="1" w:styleId="LRLevel3Number">
    <w:name w:val="LRLevel 3 Number"/>
    <w:basedOn w:val="BodyText1"/>
    <w:pPr>
      <w:tabs>
        <w:tab w:val="num" w:pos="720"/>
      </w:tabs>
      <w:ind w:left="1440" w:hanging="720"/>
    </w:pPr>
  </w:style>
  <w:style w:type="paragraph" w:customStyle="1" w:styleId="LRLevel4Number">
    <w:name w:val="LRLevel 4 Number"/>
    <w:basedOn w:val="BodyText1"/>
    <w:pPr>
      <w:tabs>
        <w:tab w:val="num" w:pos="1440"/>
      </w:tabs>
      <w:ind w:left="2160" w:hanging="720"/>
    </w:pPr>
  </w:style>
  <w:style w:type="paragraph" w:customStyle="1" w:styleId="LRLevel5Number">
    <w:name w:val="LRLevel 5 Number"/>
    <w:basedOn w:val="BodyText1"/>
    <w:pPr>
      <w:tabs>
        <w:tab w:val="num" w:pos="2160"/>
      </w:tabs>
      <w:ind w:left="2880" w:hanging="720"/>
    </w:pPr>
  </w:style>
  <w:style w:type="paragraph" w:customStyle="1" w:styleId="LRLevel6Number">
    <w:name w:val="LRLevel 6 Number"/>
    <w:basedOn w:val="BodyText1"/>
    <w:pPr>
      <w:tabs>
        <w:tab w:val="num" w:pos="2880"/>
      </w:tabs>
      <w:ind w:left="2880" w:hanging="720"/>
    </w:pPr>
  </w:style>
  <w:style w:type="paragraph" w:customStyle="1" w:styleId="LRLevel7Number">
    <w:name w:val="LRLevel 7 Number"/>
    <w:basedOn w:val="BodyText1"/>
    <w:pPr>
      <w:tabs>
        <w:tab w:val="num" w:pos="2880"/>
      </w:tabs>
      <w:ind w:left="2880" w:hanging="720"/>
    </w:pPr>
  </w:style>
  <w:style w:type="paragraph" w:customStyle="1" w:styleId="LRLevel8Number">
    <w:name w:val="LRLevel 8 Number"/>
    <w:basedOn w:val="BodyText1"/>
    <w:pPr>
      <w:tabs>
        <w:tab w:val="num" w:pos="2880"/>
      </w:tabs>
      <w:ind w:left="2880" w:hanging="720"/>
    </w:pPr>
  </w:style>
  <w:style w:type="paragraph" w:customStyle="1" w:styleId="Schedule">
    <w:name w:val="Schedule"/>
    <w:basedOn w:val="BodyText"/>
    <w:next w:val="BodyText"/>
    <w:uiPriority w:val="29"/>
    <w:qFormat/>
    <w:pPr>
      <w:pageBreakBefore/>
      <w:numPr>
        <w:numId w:val="5"/>
      </w:numPr>
      <w:pBdr>
        <w:bottom w:val="single" w:sz="4" w:space="1" w:color="7F7F7F"/>
      </w:pBdr>
      <w:spacing w:before="240"/>
      <w:jc w:val="center"/>
      <w:outlineLvl w:val="0"/>
    </w:pPr>
    <w:rPr>
      <w:b/>
      <w:caps/>
    </w:rPr>
  </w:style>
  <w:style w:type="paragraph" w:customStyle="1" w:styleId="ScheduleManual">
    <w:name w:val="Schedule Manual"/>
    <w:basedOn w:val="BodyText"/>
    <w:next w:val="BodyText"/>
    <w:pPr>
      <w:pageBreakBefore/>
      <w:spacing w:before="240"/>
      <w:jc w:val="center"/>
      <w:outlineLvl w:val="0"/>
    </w:pPr>
    <w:rPr>
      <w:caps/>
    </w:rPr>
  </w:style>
  <w:style w:type="paragraph" w:customStyle="1" w:styleId="ScheduleManualNested">
    <w:name w:val="Schedule Manual Nested"/>
    <w:basedOn w:val="ScheduleManual"/>
  </w:style>
  <w:style w:type="paragraph" w:customStyle="1" w:styleId="ScheduleText">
    <w:name w:val="Schedule Text"/>
    <w:basedOn w:val="BodyText"/>
    <w:next w:val="BodyText"/>
    <w:pPr>
      <w:pageBreakBefore/>
      <w:numPr>
        <w:numId w:val="9"/>
      </w:numPr>
      <w:spacing w:before="240"/>
      <w:jc w:val="center"/>
      <w:outlineLvl w:val="0"/>
    </w:pPr>
    <w:rPr>
      <w:caps/>
    </w:rPr>
  </w:style>
  <w:style w:type="paragraph" w:customStyle="1" w:styleId="SubSchedule">
    <w:name w:val="Sub Schedule"/>
    <w:basedOn w:val="BodyText"/>
    <w:next w:val="BodyText"/>
    <w:pPr>
      <w:outlineLvl w:val="1"/>
    </w:pPr>
    <w:rPr>
      <w:b/>
      <w:sz w:val="24"/>
      <w:szCs w:val="24"/>
    </w:rPr>
  </w:style>
  <w:style w:type="paragraph" w:customStyle="1" w:styleId="Part">
    <w:name w:val="Part"/>
    <w:basedOn w:val="BodyText"/>
    <w:next w:val="BodyText"/>
    <w:uiPriority w:val="30"/>
    <w:qFormat/>
    <w:pPr>
      <w:numPr>
        <w:ilvl w:val="1"/>
        <w:numId w:val="5"/>
      </w:numPr>
      <w:jc w:val="center"/>
    </w:pPr>
    <w:rPr>
      <w:b/>
    </w:rPr>
  </w:style>
  <w:style w:type="paragraph" w:customStyle="1" w:styleId="PartText">
    <w:name w:val="Part Text"/>
    <w:basedOn w:val="BodyText"/>
    <w:next w:val="BodyText"/>
    <w:pPr>
      <w:jc w:val="center"/>
    </w:pPr>
    <w:rPr>
      <w:b/>
    </w:rPr>
  </w:style>
  <w:style w:type="paragraph" w:customStyle="1" w:styleId="Appendix">
    <w:name w:val="Appendix"/>
    <w:basedOn w:val="BodyText"/>
    <w:next w:val="BodyText"/>
    <w:pPr>
      <w:pageBreakBefore/>
      <w:numPr>
        <w:numId w:val="8"/>
      </w:numPr>
      <w:pBdr>
        <w:bottom w:val="single" w:sz="4" w:space="1" w:color="7F7F7F"/>
      </w:pBdr>
      <w:spacing w:before="240"/>
      <w:jc w:val="center"/>
      <w:outlineLvl w:val="0"/>
    </w:pPr>
    <w:rPr>
      <w:b/>
      <w:caps/>
    </w:rPr>
  </w:style>
  <w:style w:type="paragraph" w:customStyle="1" w:styleId="AppendixText">
    <w:name w:val="Appendix Text"/>
    <w:basedOn w:val="BodyText"/>
    <w:next w:val="BodyText"/>
    <w:pPr>
      <w:pageBreakBefore/>
      <w:numPr>
        <w:numId w:val="10"/>
      </w:numPr>
      <w:pBdr>
        <w:bottom w:val="single" w:sz="4" w:space="1" w:color="7F7F7F"/>
      </w:pBdr>
      <w:spacing w:before="240"/>
      <w:jc w:val="center"/>
      <w:outlineLvl w:val="0"/>
    </w:pPr>
    <w:rPr>
      <w:caps/>
    </w:rPr>
  </w:style>
  <w:style w:type="paragraph" w:customStyle="1" w:styleId="App1Heading">
    <w:name w:val="App 1 Heading"/>
    <w:basedOn w:val="App1Number"/>
    <w:pPr>
      <w:keepNext/>
    </w:pPr>
    <w:rPr>
      <w:b/>
    </w:rPr>
  </w:style>
  <w:style w:type="paragraph" w:customStyle="1" w:styleId="App1Number">
    <w:name w:val="App 1 Number"/>
    <w:basedOn w:val="BodyText"/>
    <w:pPr>
      <w:tabs>
        <w:tab w:val="num" w:pos="720"/>
      </w:tabs>
      <w:ind w:left="720" w:hanging="720"/>
      <w:jc w:val="left"/>
    </w:pPr>
    <w:rPr>
      <w:bCs/>
    </w:rPr>
  </w:style>
  <w:style w:type="paragraph" w:customStyle="1" w:styleId="App2Heading">
    <w:name w:val="App 2 Heading"/>
    <w:basedOn w:val="App2Number"/>
    <w:pPr>
      <w:keepNext/>
    </w:pPr>
    <w:rPr>
      <w:b/>
    </w:rPr>
  </w:style>
  <w:style w:type="paragraph" w:customStyle="1" w:styleId="App2Number">
    <w:name w:val="App 2 Number"/>
    <w:basedOn w:val="BodyText"/>
    <w:pPr>
      <w:numPr>
        <w:ilvl w:val="2"/>
        <w:numId w:val="8"/>
      </w:numPr>
    </w:pPr>
  </w:style>
  <w:style w:type="paragraph" w:customStyle="1" w:styleId="App3Heading">
    <w:name w:val="App 3 Heading"/>
    <w:basedOn w:val="App3Number"/>
    <w:pPr>
      <w:keepNext/>
    </w:pPr>
    <w:rPr>
      <w:b/>
    </w:rPr>
  </w:style>
  <w:style w:type="paragraph" w:customStyle="1" w:styleId="App3Number">
    <w:name w:val="App 3 Number"/>
    <w:basedOn w:val="BodyText"/>
    <w:pPr>
      <w:numPr>
        <w:ilvl w:val="3"/>
        <w:numId w:val="8"/>
      </w:numPr>
    </w:pPr>
  </w:style>
  <w:style w:type="paragraph" w:customStyle="1" w:styleId="App4Heading">
    <w:name w:val="App 4 Heading"/>
    <w:basedOn w:val="App4Number"/>
    <w:pPr>
      <w:keepNext/>
    </w:pPr>
    <w:rPr>
      <w:b/>
    </w:rPr>
  </w:style>
  <w:style w:type="paragraph" w:customStyle="1" w:styleId="App4Number">
    <w:name w:val="App 4 Number"/>
    <w:basedOn w:val="BodyText"/>
    <w:pPr>
      <w:numPr>
        <w:ilvl w:val="4"/>
        <w:numId w:val="8"/>
      </w:numPr>
    </w:pPr>
  </w:style>
  <w:style w:type="paragraph" w:customStyle="1" w:styleId="App5Heading">
    <w:name w:val="App 5 Heading"/>
    <w:basedOn w:val="App5Number"/>
    <w:pPr>
      <w:keepNext/>
    </w:pPr>
    <w:rPr>
      <w:b/>
    </w:rPr>
  </w:style>
  <w:style w:type="paragraph" w:customStyle="1" w:styleId="App5Number">
    <w:name w:val="App 5 Number"/>
    <w:basedOn w:val="BodyText"/>
    <w:pPr>
      <w:numPr>
        <w:ilvl w:val="5"/>
        <w:numId w:val="8"/>
      </w:numPr>
    </w:pPr>
  </w:style>
  <w:style w:type="paragraph" w:customStyle="1" w:styleId="Sch1Number">
    <w:name w:val="Sch 1 Number"/>
    <w:basedOn w:val="BodyText1"/>
    <w:pPr>
      <w:tabs>
        <w:tab w:val="num" w:pos="720"/>
      </w:tabs>
      <w:ind w:hanging="720"/>
    </w:pPr>
  </w:style>
  <w:style w:type="paragraph" w:customStyle="1" w:styleId="Sch1Heading">
    <w:name w:val="Sch 1 Heading"/>
    <w:basedOn w:val="Sch1Number"/>
    <w:next w:val="Sch1Number"/>
    <w:uiPriority w:val="30"/>
    <w:qFormat/>
    <w:pPr>
      <w:keepNext/>
    </w:pPr>
    <w:rPr>
      <w:b/>
    </w:rPr>
  </w:style>
  <w:style w:type="paragraph" w:customStyle="1" w:styleId="Sch2Heading">
    <w:name w:val="Sch 2 Heading"/>
    <w:basedOn w:val="Sch2Number"/>
    <w:pPr>
      <w:keepNext/>
    </w:pPr>
    <w:rPr>
      <w:b/>
    </w:rPr>
  </w:style>
  <w:style w:type="paragraph" w:customStyle="1" w:styleId="Sch2Number">
    <w:name w:val="Sch 2 Number"/>
    <w:basedOn w:val="BodyText2"/>
    <w:uiPriority w:val="30"/>
    <w:qFormat/>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uiPriority w:val="30"/>
    <w:qFormat/>
    <w:pPr>
      <w:numPr>
        <w:ilvl w:val="4"/>
        <w:numId w:val="5"/>
      </w:numPr>
    </w:pPr>
  </w:style>
  <w:style w:type="paragraph" w:customStyle="1" w:styleId="Sch4Heading">
    <w:name w:val="Sch 4 Heading"/>
    <w:basedOn w:val="Sch4Number"/>
    <w:uiPriority w:val="30"/>
    <w:pPr>
      <w:keepNext/>
    </w:pPr>
    <w:rPr>
      <w:b/>
    </w:rPr>
  </w:style>
  <w:style w:type="paragraph" w:customStyle="1" w:styleId="Sch4Number">
    <w:name w:val="Sch 4 Number"/>
    <w:basedOn w:val="BodyText4"/>
    <w:uiPriority w:val="30"/>
    <w:qFormat/>
    <w:pPr>
      <w:numPr>
        <w:ilvl w:val="5"/>
        <w:numId w:val="5"/>
      </w:numPr>
    </w:pPr>
  </w:style>
  <w:style w:type="paragraph" w:customStyle="1" w:styleId="Sch5Heading">
    <w:name w:val="Sch 5 Heading"/>
    <w:basedOn w:val="Sch5Number"/>
    <w:pPr>
      <w:keepNext/>
    </w:pPr>
    <w:rPr>
      <w:b/>
    </w:rPr>
  </w:style>
  <w:style w:type="paragraph" w:customStyle="1" w:styleId="Sch5Number">
    <w:name w:val="Sch 5 Number"/>
    <w:basedOn w:val="BodyText5"/>
    <w:uiPriority w:val="30"/>
    <w:qFormat/>
    <w:pPr>
      <w:numPr>
        <w:ilvl w:val="6"/>
        <w:numId w:val="5"/>
      </w:numPr>
    </w:pPr>
  </w:style>
  <w:style w:type="paragraph" w:customStyle="1" w:styleId="Sch6Number">
    <w:name w:val="Sch 6 Number"/>
    <w:basedOn w:val="BodyText6"/>
    <w:uiPriority w:val="30"/>
    <w:pPr>
      <w:numPr>
        <w:ilvl w:val="7"/>
        <w:numId w:val="5"/>
      </w:numPr>
    </w:pPr>
  </w:style>
  <w:style w:type="paragraph" w:customStyle="1" w:styleId="Sch7Number">
    <w:name w:val="Sch 7 Number"/>
    <w:basedOn w:val="BodyText7"/>
    <w:uiPriority w:val="30"/>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sz w:val="32"/>
      <w:szCs w:val="32"/>
    </w:rPr>
  </w:style>
  <w:style w:type="paragraph" w:styleId="Subtitle">
    <w:name w:val="Subtitle"/>
    <w:basedOn w:val="BodyText"/>
    <w:qFormat/>
    <w:pPr>
      <w:keepNext/>
      <w:spacing w:before="240"/>
      <w:jc w:val="center"/>
      <w:outlineLvl w:val="1"/>
    </w:pPr>
    <w:rPr>
      <w:b/>
    </w:rPr>
  </w:style>
  <w:style w:type="paragraph" w:styleId="TOCHeading">
    <w:name w:val="TOC Heading"/>
    <w:basedOn w:val="BodyText"/>
    <w:qFormat/>
    <w:pPr>
      <w:keepLines/>
      <w:spacing w:before="240"/>
    </w:pPr>
    <w:rPr>
      <w:b/>
      <w:sz w:val="24"/>
      <w:szCs w:val="24"/>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rPr>
      <w:noProof/>
    </w:rPr>
  </w:style>
  <w:style w:type="paragraph" w:styleId="TOC2">
    <w:name w:val="toc 2"/>
    <w:basedOn w:val="BodyText"/>
    <w:rPr>
      <w:i/>
      <w:noProof/>
      <w:color w:val="4B4B4B"/>
    </w:rPr>
  </w:style>
  <w:style w:type="paragraph" w:styleId="TOC3">
    <w:name w:val="toc 3"/>
    <w:basedOn w:val="BodyText"/>
    <w:rPr>
      <w:noProof/>
    </w:rPr>
  </w:style>
  <w:style w:type="paragraph" w:styleId="Footer">
    <w:name w:val="footer"/>
    <w:basedOn w:val="Header"/>
    <w:pPr>
      <w:spacing w:after="0" w:line="180" w:lineRule="auto"/>
    </w:pPr>
  </w:style>
  <w:style w:type="paragraph" w:styleId="Header">
    <w:name w:val="header"/>
    <w:basedOn w:val="BodyText"/>
    <w:rPr>
      <w:sz w:val="16"/>
      <w:szCs w:val="16"/>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BodyText"/>
    <w:qFormat/>
    <w:pPr>
      <w:spacing w:before="240" w:after="60"/>
      <w:jc w:val="center"/>
    </w:pPr>
    <w:rPr>
      <w:b/>
      <w:sz w:val="32"/>
      <w:szCs w:val="32"/>
    </w:rPr>
  </w:style>
  <w:style w:type="paragraph" w:customStyle="1" w:styleId="Definition">
    <w:name w:val="Definition"/>
    <w:basedOn w:val="BodyText"/>
    <w:uiPriority w:val="60"/>
    <w:qFormat/>
    <w:pPr>
      <w:numPr>
        <w:numId w:val="12"/>
      </w:numPr>
    </w:pPr>
  </w:style>
  <w:style w:type="paragraph" w:customStyle="1" w:styleId="Definition1">
    <w:name w:val="Definition 1"/>
    <w:basedOn w:val="BodyText"/>
    <w:uiPriority w:val="60"/>
    <w:qFormat/>
    <w:pPr>
      <w:numPr>
        <w:ilvl w:val="1"/>
        <w:numId w:val="12"/>
      </w:numPr>
    </w:pPr>
  </w:style>
  <w:style w:type="paragraph" w:customStyle="1" w:styleId="Definition2">
    <w:name w:val="Definition 2"/>
    <w:basedOn w:val="Definition"/>
    <w:uiPriority w:val="60"/>
    <w:qFormat/>
    <w:pPr>
      <w:numPr>
        <w:ilvl w:val="2"/>
      </w:numPr>
    </w:pPr>
  </w:style>
  <w:style w:type="paragraph" w:customStyle="1" w:styleId="Definition3">
    <w:name w:val="Definition 3"/>
    <w:basedOn w:val="Definition"/>
    <w:uiPriority w:val="60"/>
    <w:pPr>
      <w:numPr>
        <w:ilvl w:val="3"/>
      </w:numPr>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tblPr>
      <w:tblStyleRowBandSize w:val="1"/>
      <w:tblInd w:w="0" w:type="dxa"/>
      <w:tblCellMar>
        <w:top w:w="0" w:type="dxa"/>
        <w:left w:w="0" w:type="dxa"/>
        <w:bottom w:w="0" w:type="dxa"/>
        <w:right w:w="0" w:type="dxa"/>
      </w:tblCellMar>
    </w:tblPr>
  </w:style>
  <w:style w:type="paragraph" w:customStyle="1" w:styleId="Prayer">
    <w:name w:val="Prayer"/>
    <w:basedOn w:val="BodyText"/>
    <w:pPr>
      <w:numPr>
        <w:numId w:val="11"/>
      </w:numPr>
    </w:pPr>
  </w:style>
  <w:style w:type="paragraph" w:customStyle="1" w:styleId="Prayer2">
    <w:name w:val="Prayer2"/>
    <w:basedOn w:val="BodyText"/>
    <w:pPr>
      <w:numPr>
        <w:ilvl w:val="1"/>
        <w:numId w:val="11"/>
      </w:numPr>
    </w:pPr>
  </w:style>
  <w:style w:type="character" w:customStyle="1" w:styleId="UnresolvedMention1">
    <w:name w:val="Unresolved Mention1"/>
    <w:uiPriority w:val="99"/>
    <w:semiHidden/>
    <w:unhideWhenUsed/>
    <w:rsid w:val="00C53D73"/>
    <w:rPr>
      <w:rFonts w:ascii="Arial" w:hAnsi="Arial"/>
      <w:color w:val="605E5C"/>
      <w:shd w:val="clear" w:color="auto" w:fill="E1DFDD"/>
    </w:rPr>
  </w:style>
  <w:style w:type="paragraph" w:customStyle="1" w:styleId="ShortOutline1">
    <w:name w:val="ShortOutline1"/>
    <w:basedOn w:val="Normal"/>
    <w:rsid w:val="004A281E"/>
    <w:pPr>
      <w:widowControl w:val="0"/>
      <w:numPr>
        <w:numId w:val="15"/>
      </w:numPr>
      <w:autoSpaceDE w:val="0"/>
      <w:autoSpaceDN w:val="0"/>
      <w:adjustRightInd w:val="0"/>
      <w:spacing w:before="240" w:after="240" w:line="240" w:lineRule="auto"/>
      <w:outlineLvl w:val="0"/>
    </w:pPr>
    <w:rPr>
      <w:rFonts w:ascii="Courier New" w:eastAsia="Times New Roman" w:hAnsi="Courier New" w:cs="Times New Roman"/>
      <w:sz w:val="24"/>
      <w:szCs w:val="24"/>
      <w:lang w:val="en-US"/>
    </w:rPr>
  </w:style>
  <w:style w:type="paragraph" w:customStyle="1" w:styleId="ShortOutline2">
    <w:name w:val="ShortOutline2"/>
    <w:basedOn w:val="Normal"/>
    <w:rsid w:val="004A281E"/>
    <w:pPr>
      <w:widowControl w:val="0"/>
      <w:numPr>
        <w:ilvl w:val="1"/>
        <w:numId w:val="15"/>
      </w:numPr>
      <w:autoSpaceDE w:val="0"/>
      <w:autoSpaceDN w:val="0"/>
      <w:adjustRightInd w:val="0"/>
      <w:spacing w:before="240" w:after="240" w:line="240" w:lineRule="auto"/>
      <w:outlineLvl w:val="1"/>
    </w:pPr>
    <w:rPr>
      <w:rFonts w:ascii="Courier New" w:eastAsia="Times New Roman" w:hAnsi="Courier New" w:cs="Times New Roman"/>
      <w:color w:val="000000"/>
      <w:sz w:val="24"/>
      <w:szCs w:val="24"/>
      <w:lang w:val="en-US"/>
    </w:rPr>
  </w:style>
  <w:style w:type="paragraph" w:customStyle="1" w:styleId="ShortOutline3">
    <w:name w:val="ShortOutline3"/>
    <w:basedOn w:val="Normal"/>
    <w:rsid w:val="004A281E"/>
    <w:pPr>
      <w:widowControl w:val="0"/>
      <w:numPr>
        <w:ilvl w:val="2"/>
        <w:numId w:val="15"/>
      </w:numPr>
      <w:autoSpaceDE w:val="0"/>
      <w:autoSpaceDN w:val="0"/>
      <w:adjustRightInd w:val="0"/>
      <w:spacing w:before="240" w:after="240" w:line="240" w:lineRule="auto"/>
      <w:outlineLvl w:val="2"/>
    </w:pPr>
    <w:rPr>
      <w:rFonts w:ascii="Courier New" w:eastAsia="Times New Roman" w:hAnsi="Courier New" w:cs="Times New Roman"/>
      <w:color w:val="000000"/>
      <w:sz w:val="24"/>
      <w:szCs w:val="24"/>
      <w:lang w:val="en-US"/>
    </w:rPr>
  </w:style>
  <w:style w:type="paragraph" w:customStyle="1" w:styleId="ShortOutline4">
    <w:name w:val="ShortOutline4"/>
    <w:basedOn w:val="Normal"/>
    <w:rsid w:val="004A281E"/>
    <w:pPr>
      <w:widowControl w:val="0"/>
      <w:numPr>
        <w:ilvl w:val="3"/>
        <w:numId w:val="15"/>
      </w:numPr>
      <w:autoSpaceDE w:val="0"/>
      <w:autoSpaceDN w:val="0"/>
      <w:adjustRightInd w:val="0"/>
      <w:spacing w:before="240" w:after="240" w:line="240" w:lineRule="auto"/>
      <w:outlineLvl w:val="3"/>
    </w:pPr>
    <w:rPr>
      <w:rFonts w:ascii="Courier New" w:eastAsia="Times New Roman" w:hAnsi="Courier New" w:cs="Times New Roman"/>
      <w:color w:val="000000"/>
      <w:sz w:val="24"/>
      <w:szCs w:val="24"/>
      <w:lang w:val="en-US"/>
    </w:rPr>
  </w:style>
  <w:style w:type="paragraph" w:customStyle="1" w:styleId="ShortOutline5">
    <w:name w:val="ShortOutline5"/>
    <w:basedOn w:val="Normal"/>
    <w:link w:val="ShortOutline5Char"/>
    <w:rsid w:val="004A281E"/>
    <w:pPr>
      <w:widowControl w:val="0"/>
      <w:numPr>
        <w:ilvl w:val="4"/>
        <w:numId w:val="15"/>
      </w:numPr>
      <w:autoSpaceDE w:val="0"/>
      <w:autoSpaceDN w:val="0"/>
      <w:adjustRightInd w:val="0"/>
      <w:spacing w:before="240" w:after="240" w:line="240" w:lineRule="auto"/>
      <w:outlineLvl w:val="4"/>
    </w:pPr>
    <w:rPr>
      <w:rFonts w:ascii="Courier New" w:eastAsia="Times New Roman" w:hAnsi="Courier New" w:cs="Times New Roman"/>
      <w:color w:val="000000"/>
      <w:sz w:val="24"/>
      <w:szCs w:val="24"/>
      <w:lang w:val="en-US"/>
    </w:rPr>
  </w:style>
  <w:style w:type="character" w:customStyle="1" w:styleId="ShortOutline5Char">
    <w:name w:val="ShortOutline5 Char"/>
    <w:link w:val="ShortOutline5"/>
    <w:rsid w:val="00DB2716"/>
    <w:rPr>
      <w:rFonts w:ascii="Courier New" w:eastAsia="Times New Roman" w:hAnsi="Courier New" w:cs="Times New Roman"/>
      <w:color w:val="000000"/>
      <w:kern w:val="2"/>
      <w:sz w:val="24"/>
      <w:szCs w:val="24"/>
      <w:lang w:val="en-US" w:eastAsia="en-US"/>
      <w14:ligatures w14:val="standardContextual"/>
    </w:rPr>
  </w:style>
  <w:style w:type="numbering" w:customStyle="1" w:styleId="ShortOutlineList">
    <w:name w:val="ShortOutlineList"/>
    <w:basedOn w:val="NoList"/>
    <w:rsid w:val="00DB2716"/>
    <w:pPr>
      <w:numPr>
        <w:numId w:val="24"/>
      </w:numPr>
    </w:pPr>
  </w:style>
  <w:style w:type="paragraph" w:customStyle="1" w:styleId="Definition4">
    <w:name w:val="Definition 4"/>
    <w:basedOn w:val="Normal"/>
    <w:uiPriority w:val="60"/>
    <w:semiHidden/>
    <w:rsid w:val="00840798"/>
    <w:pPr>
      <w:tabs>
        <w:tab w:val="num" w:pos="2880"/>
      </w:tabs>
      <w:spacing w:after="240" w:line="240" w:lineRule="auto"/>
      <w:ind w:left="2880" w:hanging="720"/>
      <w:jc w:val="both"/>
    </w:pPr>
    <w:rPr>
      <w:rFonts w:cs="Times New Roman"/>
    </w:rPr>
  </w:style>
  <w:style w:type="numbering" w:customStyle="1" w:styleId="ListOperativeNumbering">
    <w:name w:val="List Operative Numbering"/>
    <w:uiPriority w:val="99"/>
    <w:rsid w:val="00840798"/>
    <w:pPr>
      <w:numPr>
        <w:numId w:val="19"/>
      </w:numPr>
    </w:pPr>
  </w:style>
  <w:style w:type="numbering" w:customStyle="1" w:styleId="ListScheduleNumbering">
    <w:name w:val="List Schedule Numbering"/>
    <w:uiPriority w:val="99"/>
    <w:rsid w:val="00840798"/>
    <w:pPr>
      <w:numPr>
        <w:numId w:val="17"/>
      </w:numPr>
    </w:pPr>
  </w:style>
  <w:style w:type="numbering" w:customStyle="1" w:styleId="ListDefinitions">
    <w:name w:val="List Definitions"/>
    <w:uiPriority w:val="99"/>
    <w:rsid w:val="00840798"/>
    <w:pPr>
      <w:numPr>
        <w:numId w:val="18"/>
      </w:numPr>
    </w:pPr>
  </w:style>
  <w:style w:type="paragraph" w:styleId="ListParagraph">
    <w:name w:val="List Paragraph"/>
    <w:basedOn w:val="Normal"/>
    <w:uiPriority w:val="1"/>
    <w:qFormat/>
    <w:rsid w:val="00840798"/>
    <w:pPr>
      <w:widowControl w:val="0"/>
      <w:autoSpaceDE w:val="0"/>
      <w:autoSpaceDN w:val="0"/>
      <w:adjustRightInd w:val="0"/>
      <w:spacing w:after="0" w:line="240" w:lineRule="auto"/>
      <w:ind w:left="721" w:hanging="567"/>
      <w:jc w:val="both"/>
    </w:pPr>
    <w:rPr>
      <w:rFonts w:ascii="Times New Roman" w:eastAsia="Times New Roman" w:hAnsi="Times New Roman" w:cs="Times New Roman"/>
      <w:sz w:val="24"/>
      <w:szCs w:val="24"/>
    </w:rPr>
  </w:style>
  <w:style w:type="paragraph" w:styleId="Revision">
    <w:name w:val="Revision"/>
    <w:hidden/>
    <w:uiPriority w:val="99"/>
    <w:unhideWhenUsed/>
    <w:rsid w:val="002A0B96"/>
  </w:style>
  <w:style w:type="character" w:styleId="CommentReference">
    <w:name w:val="annotation reference"/>
    <w:uiPriority w:val="99"/>
    <w:semiHidden/>
    <w:unhideWhenUsed/>
    <w:rsid w:val="00B51BC3"/>
    <w:rPr>
      <w:rFonts w:ascii="Arial" w:hAnsi="Arial"/>
      <w:sz w:val="16"/>
      <w:szCs w:val="16"/>
    </w:rPr>
  </w:style>
  <w:style w:type="paragraph" w:styleId="CommentText">
    <w:name w:val="annotation text"/>
    <w:basedOn w:val="Normal"/>
    <w:link w:val="CommentTextChar"/>
    <w:uiPriority w:val="99"/>
    <w:unhideWhenUsed/>
    <w:rsid w:val="00B51BC3"/>
  </w:style>
  <w:style w:type="character" w:customStyle="1" w:styleId="CommentTextChar">
    <w:name w:val="Comment Text Char"/>
    <w:basedOn w:val="DefaultParagraphFont"/>
    <w:link w:val="CommentText"/>
    <w:uiPriority w:val="99"/>
    <w:rsid w:val="00B51BC3"/>
  </w:style>
  <w:style w:type="paragraph" w:styleId="CommentSubject">
    <w:name w:val="annotation subject"/>
    <w:basedOn w:val="CommentText"/>
    <w:next w:val="CommentText"/>
    <w:link w:val="CommentSubjectChar"/>
    <w:uiPriority w:val="99"/>
    <w:semiHidden/>
    <w:unhideWhenUsed/>
    <w:rsid w:val="00B51BC3"/>
    <w:rPr>
      <w:b/>
      <w:bCs/>
    </w:rPr>
  </w:style>
  <w:style w:type="character" w:customStyle="1" w:styleId="CommentSubjectChar">
    <w:name w:val="Comment Subject Char"/>
    <w:link w:val="CommentSubject"/>
    <w:uiPriority w:val="99"/>
    <w:semiHidden/>
    <w:rsid w:val="00B51BC3"/>
    <w:rPr>
      <w:rFonts w:ascii="Arial" w:hAnsi="Arial"/>
      <w:b/>
      <w:bCs/>
    </w:rPr>
  </w:style>
  <w:style w:type="character" w:customStyle="1" w:styleId="Draftline">
    <w:name w:val="Draftline"/>
    <w:rsid w:val="005E3926"/>
    <w:rPr>
      <w:rFonts w:ascii="Times New Roman" w:hAnsi="Times New Roman" w:cs="Times New Roman"/>
      <w:dstrike w:val="0"/>
      <w:vanish/>
      <w:color w:val="FF0000"/>
      <w:spacing w:val="0"/>
      <w:w w:val="100"/>
      <w:kern w:val="0"/>
      <w:sz w:val="15"/>
      <w:u w:val="none"/>
      <w:effect w:val="none"/>
      <w:vertAlign w:val="baseline"/>
    </w:rPr>
  </w:style>
  <w:style w:type="paragraph" w:customStyle="1" w:styleId="FooterB">
    <w:name w:val="Footer B"/>
    <w:link w:val="FooterBChar"/>
    <w:rsid w:val="005E3926"/>
    <w:pPr>
      <w:tabs>
        <w:tab w:val="center" w:pos="4680"/>
        <w:tab w:val="right" w:pos="9360"/>
      </w:tabs>
    </w:pPr>
    <w:rPr>
      <w:rFonts w:ascii="Times New Roman" w:hAnsi="Times New Roman" w:cs="Times New Roman"/>
      <w:sz w:val="15"/>
    </w:rPr>
  </w:style>
  <w:style w:type="character" w:customStyle="1" w:styleId="FooterBChar">
    <w:name w:val="Footer B Char"/>
    <w:link w:val="FooterB"/>
    <w:rsid w:val="005E3926"/>
    <w:rPr>
      <w:rFonts w:ascii="Times New Roman" w:hAnsi="Times New Roman" w:cs="Times New Roman"/>
      <w:sz w:val="15"/>
    </w:rPr>
  </w:style>
  <w:style w:type="paragraph" w:styleId="BalloonText">
    <w:name w:val="Balloon Text"/>
    <w:basedOn w:val="Normal"/>
    <w:link w:val="BalloonTextChar"/>
    <w:uiPriority w:val="99"/>
    <w:semiHidden/>
    <w:unhideWhenUsed/>
    <w:rsid w:val="004A2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3605</Words>
  <Characters>20552</Characters>
  <Application>Microsoft Office Word</Application>
  <DocSecurity>0</DocSecurity>
  <Lines>171</Lines>
  <Paragraphs>48</Paragraphs>
  <ScaleCrop>false</ScaleCrop>
  <Company/>
  <LinksUpToDate>false</LinksUpToDate>
  <CharactersWithSpaces>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Thomas</dc:creator>
  <cp:lastModifiedBy>James Thomas</cp:lastModifiedBy>
  <cp:revision>2</cp:revision>
  <cp:lastPrinted>1900-01-01T00:00:00Z</cp:lastPrinted>
  <dcterms:created xsi:type="dcterms:W3CDTF">2023-12-21T12:43:00Z</dcterms:created>
  <dcterms:modified xsi:type="dcterms:W3CDTF">2023-12-21T12:43:00Z</dcterms:modified>
</cp:coreProperties>
</file>